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4663" w14:textId="4DA814A7" w:rsidR="00CC3EA7" w:rsidRPr="001C6926" w:rsidRDefault="00CC3EA7" w:rsidP="001C6926">
      <w:pPr>
        <w:autoSpaceDE w:val="0"/>
        <w:autoSpaceDN w:val="0"/>
        <w:adjustRightInd w:val="0"/>
        <w:snapToGrid w:val="0"/>
        <w:spacing w:line="460" w:lineRule="exact"/>
        <w:textAlignment w:val="bottom"/>
        <w:rPr>
          <w:rFonts w:ascii="宋体" w:eastAsia="宋体" w:cs="宋体"/>
          <w:b w:val="0"/>
          <w:sz w:val="28"/>
          <w:szCs w:val="28"/>
        </w:rPr>
      </w:pPr>
      <w:r w:rsidRPr="001C6926">
        <w:rPr>
          <w:rFonts w:ascii="宋体" w:eastAsia="宋体" w:cs="宋体" w:hint="eastAsia"/>
          <w:b w:val="0"/>
          <w:sz w:val="28"/>
          <w:szCs w:val="28"/>
        </w:rPr>
        <w:t>一、</w:t>
      </w:r>
      <w:r w:rsidR="007C4730" w:rsidRPr="001C6926">
        <w:rPr>
          <w:rFonts w:ascii="宋体" w:eastAsia="宋体" w:cs="宋体" w:hint="eastAsia"/>
          <w:b w:val="0"/>
          <w:sz w:val="28"/>
          <w:szCs w:val="28"/>
        </w:rPr>
        <w:t>采购清单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3280"/>
        <w:gridCol w:w="1475"/>
        <w:gridCol w:w="1805"/>
        <w:gridCol w:w="1895"/>
      </w:tblGrid>
      <w:tr w:rsidR="00CC3EA7" w:rsidRPr="005B7851" w14:paraId="5442EFFB" w14:textId="77777777" w:rsidTr="00483E69">
        <w:trPr>
          <w:trHeight w:val="320"/>
        </w:trPr>
        <w:tc>
          <w:tcPr>
            <w:tcW w:w="1226" w:type="dxa"/>
            <w:vAlign w:val="center"/>
          </w:tcPr>
          <w:p w14:paraId="29B8FF29" w14:textId="77777777" w:rsidR="00CC3EA7" w:rsidRPr="005B7851" w:rsidRDefault="00CC3EA7" w:rsidP="00F41277">
            <w:pPr>
              <w:pStyle w:val="ad"/>
              <w:spacing w:before="0" w:beforeAutospacing="0" w:after="0" w:afterAutospacing="0" w:line="460" w:lineRule="exact"/>
              <w:jc w:val="center"/>
              <w:rPr>
                <w:rFonts w:cs="新宋体"/>
                <w:b/>
                <w:sz w:val="22"/>
                <w:szCs w:val="22"/>
              </w:rPr>
            </w:pPr>
            <w:r w:rsidRPr="005B7851">
              <w:rPr>
                <w:rFonts w:cs="新宋体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3280" w:type="dxa"/>
            <w:vAlign w:val="center"/>
          </w:tcPr>
          <w:p w14:paraId="39218E67" w14:textId="77777777" w:rsidR="00CC3EA7" w:rsidRPr="005B7851" w:rsidRDefault="00CC3EA7" w:rsidP="00F41277">
            <w:pPr>
              <w:pStyle w:val="ad"/>
              <w:spacing w:before="0" w:beforeAutospacing="0" w:after="0" w:afterAutospacing="0" w:line="460" w:lineRule="exact"/>
              <w:jc w:val="center"/>
              <w:rPr>
                <w:rFonts w:cs="新宋体"/>
                <w:b/>
                <w:sz w:val="22"/>
                <w:szCs w:val="22"/>
              </w:rPr>
            </w:pPr>
            <w:r w:rsidRPr="005B7851">
              <w:rPr>
                <w:rFonts w:cs="新宋体" w:hint="eastAsia"/>
                <w:b/>
                <w:sz w:val="22"/>
                <w:szCs w:val="22"/>
              </w:rPr>
              <w:t>产品名称</w:t>
            </w:r>
          </w:p>
        </w:tc>
        <w:tc>
          <w:tcPr>
            <w:tcW w:w="1475" w:type="dxa"/>
            <w:vAlign w:val="center"/>
          </w:tcPr>
          <w:p w14:paraId="5760DC55" w14:textId="77777777" w:rsidR="00CC3EA7" w:rsidRPr="005B7851" w:rsidRDefault="00CC3EA7" w:rsidP="00F41277">
            <w:pPr>
              <w:pStyle w:val="ad"/>
              <w:spacing w:before="0" w:beforeAutospacing="0" w:after="0" w:afterAutospacing="0" w:line="460" w:lineRule="exact"/>
              <w:jc w:val="center"/>
              <w:rPr>
                <w:rFonts w:cs="新宋体"/>
                <w:b/>
                <w:sz w:val="22"/>
                <w:szCs w:val="22"/>
              </w:rPr>
            </w:pPr>
            <w:r w:rsidRPr="005B7851">
              <w:rPr>
                <w:rFonts w:cs="新宋体" w:hint="eastAsia"/>
                <w:b/>
                <w:sz w:val="22"/>
                <w:szCs w:val="22"/>
              </w:rPr>
              <w:t>数量单位</w:t>
            </w:r>
          </w:p>
        </w:tc>
        <w:tc>
          <w:tcPr>
            <w:tcW w:w="1805" w:type="dxa"/>
            <w:vAlign w:val="center"/>
          </w:tcPr>
          <w:p w14:paraId="39F19DB1" w14:textId="4658E56A" w:rsidR="00CC3EA7" w:rsidRPr="005B7851" w:rsidRDefault="007C4730" w:rsidP="00F41277">
            <w:pPr>
              <w:pStyle w:val="ad"/>
              <w:spacing w:before="0" w:beforeAutospacing="0" w:after="0" w:afterAutospacing="0" w:line="460" w:lineRule="exact"/>
              <w:ind w:firstLineChars="98" w:firstLine="216"/>
              <w:rPr>
                <w:rFonts w:cs="新宋体"/>
                <w:b/>
                <w:sz w:val="22"/>
                <w:szCs w:val="22"/>
              </w:rPr>
            </w:pPr>
            <w:r>
              <w:rPr>
                <w:rFonts w:cs="新宋体" w:hint="eastAsia"/>
                <w:b/>
                <w:sz w:val="22"/>
                <w:szCs w:val="22"/>
              </w:rPr>
              <w:t>规格</w:t>
            </w:r>
          </w:p>
        </w:tc>
        <w:tc>
          <w:tcPr>
            <w:tcW w:w="1895" w:type="dxa"/>
            <w:vAlign w:val="center"/>
          </w:tcPr>
          <w:p w14:paraId="053B6FF6" w14:textId="21F987A7" w:rsidR="00CC3EA7" w:rsidRPr="005B7851" w:rsidRDefault="007C4730" w:rsidP="00F41277">
            <w:pPr>
              <w:pStyle w:val="ad"/>
              <w:spacing w:before="0" w:beforeAutospacing="0" w:after="0" w:afterAutospacing="0" w:line="460" w:lineRule="exact"/>
              <w:ind w:firstLineChars="147" w:firstLine="325"/>
              <w:rPr>
                <w:rFonts w:cs="新宋体"/>
                <w:b/>
                <w:sz w:val="22"/>
                <w:szCs w:val="22"/>
              </w:rPr>
            </w:pPr>
            <w:r>
              <w:rPr>
                <w:rFonts w:cs="新宋体" w:hint="eastAsia"/>
                <w:b/>
                <w:sz w:val="22"/>
                <w:szCs w:val="22"/>
              </w:rPr>
              <w:t>备注</w:t>
            </w:r>
          </w:p>
        </w:tc>
      </w:tr>
      <w:tr w:rsidR="00CC3EA7" w:rsidRPr="005B7851" w14:paraId="21D4615D" w14:textId="77777777" w:rsidTr="00483E69">
        <w:trPr>
          <w:trHeight w:val="499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231" w14:textId="77777777" w:rsidR="00CC3EA7" w:rsidRPr="005B7851" w:rsidRDefault="00CC3EA7" w:rsidP="00F41277">
            <w:pPr>
              <w:widowControl/>
              <w:spacing w:line="460" w:lineRule="exact"/>
              <w:jc w:val="center"/>
              <w:rPr>
                <w:rFonts w:ascii="宋体" w:eastAsia="宋体" w:cs="新宋体"/>
                <w:sz w:val="22"/>
                <w:szCs w:val="22"/>
              </w:rPr>
            </w:pPr>
            <w:r w:rsidRPr="005B7851">
              <w:rPr>
                <w:rFonts w:ascii="宋体" w:eastAsia="宋体" w:cs="新宋体" w:hint="eastAsia"/>
                <w:sz w:val="22"/>
                <w:szCs w:val="22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EBC1" w14:textId="3C73CC7C" w:rsidR="00CC3EA7" w:rsidRPr="005B7851" w:rsidRDefault="00CC3EA7" w:rsidP="00F41277">
            <w:pPr>
              <w:widowControl/>
              <w:spacing w:line="460" w:lineRule="exact"/>
              <w:rPr>
                <w:rFonts w:ascii="宋体" w:eastAsia="宋体" w:cs="新宋体"/>
                <w:sz w:val="22"/>
                <w:szCs w:val="22"/>
              </w:rPr>
            </w:pPr>
            <w:r w:rsidRPr="005B7851">
              <w:rPr>
                <w:rFonts w:ascii="宋体" w:eastAsia="宋体" w:hint="eastAsia"/>
              </w:rPr>
              <w:t>医院合理用血管理系统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2FAB" w14:textId="77777777" w:rsidR="00CC3EA7" w:rsidRPr="005B7851" w:rsidRDefault="00CC3EA7" w:rsidP="00F41277">
            <w:pPr>
              <w:widowControl/>
              <w:spacing w:line="460" w:lineRule="exact"/>
              <w:jc w:val="center"/>
              <w:rPr>
                <w:rFonts w:ascii="宋体" w:eastAsia="宋体" w:cs="新宋体"/>
                <w:bCs/>
                <w:sz w:val="22"/>
                <w:szCs w:val="22"/>
              </w:rPr>
            </w:pPr>
            <w:r w:rsidRPr="005B7851">
              <w:rPr>
                <w:rFonts w:ascii="宋体" w:eastAsia="宋体" w:cs="新宋体" w:hint="eastAsia"/>
                <w:bCs/>
                <w:sz w:val="22"/>
                <w:szCs w:val="22"/>
              </w:rPr>
              <w:t>1套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83D2" w14:textId="07AA7317" w:rsidR="00CC3EA7" w:rsidRPr="005B7851" w:rsidRDefault="007C4730" w:rsidP="00F41277">
            <w:pPr>
              <w:widowControl/>
              <w:spacing w:line="460" w:lineRule="exact"/>
              <w:jc w:val="center"/>
              <w:rPr>
                <w:rFonts w:ascii="宋体" w:eastAsia="宋体" w:cs="新宋体"/>
                <w:bCs/>
                <w:sz w:val="22"/>
                <w:szCs w:val="22"/>
              </w:rPr>
            </w:pPr>
            <w:r>
              <w:rPr>
                <w:rFonts w:ascii="宋体" w:eastAsia="宋体" w:cs="新宋体" w:hint="eastAsia"/>
                <w:bCs/>
                <w:sz w:val="22"/>
                <w:szCs w:val="22"/>
              </w:rPr>
              <w:t>详见技术要求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DAD2" w14:textId="7CD5DB8B" w:rsidR="00CC3EA7" w:rsidRPr="005B7851" w:rsidRDefault="00CC3EA7" w:rsidP="00F41277">
            <w:pPr>
              <w:widowControl/>
              <w:spacing w:line="460" w:lineRule="exact"/>
              <w:jc w:val="center"/>
              <w:rPr>
                <w:rFonts w:ascii="宋体" w:eastAsia="宋体" w:cs="新宋体"/>
                <w:bCs/>
                <w:sz w:val="22"/>
                <w:szCs w:val="22"/>
              </w:rPr>
            </w:pPr>
          </w:p>
        </w:tc>
      </w:tr>
    </w:tbl>
    <w:p w14:paraId="7E661567" w14:textId="245A45D5" w:rsidR="00674F6D" w:rsidRDefault="00674F6D" w:rsidP="00674F6D">
      <w:pPr>
        <w:rPr>
          <w:rFonts w:ascii="宋体" w:eastAsia="宋体"/>
          <w:sz w:val="24"/>
        </w:rPr>
      </w:pPr>
    </w:p>
    <w:p w14:paraId="767A21EF" w14:textId="75C3AA5D" w:rsidR="007C4730" w:rsidRPr="001C6926" w:rsidRDefault="007C4730" w:rsidP="001C6926">
      <w:pPr>
        <w:autoSpaceDE w:val="0"/>
        <w:autoSpaceDN w:val="0"/>
        <w:adjustRightInd w:val="0"/>
        <w:snapToGrid w:val="0"/>
        <w:spacing w:line="460" w:lineRule="exact"/>
        <w:textAlignment w:val="bottom"/>
        <w:rPr>
          <w:rFonts w:ascii="宋体" w:eastAsia="宋体" w:cs="宋体"/>
          <w:b w:val="0"/>
          <w:sz w:val="28"/>
          <w:szCs w:val="28"/>
        </w:rPr>
      </w:pPr>
      <w:r w:rsidRPr="001C6926">
        <w:rPr>
          <w:rFonts w:ascii="宋体" w:eastAsia="宋体" w:cs="宋体" w:hint="eastAsia"/>
          <w:b w:val="0"/>
          <w:sz w:val="28"/>
          <w:szCs w:val="28"/>
        </w:rPr>
        <w:t>二、技术要求</w:t>
      </w:r>
    </w:p>
    <w:p w14:paraId="6E6BB9DA" w14:textId="4D401739" w:rsidR="007C4730" w:rsidRPr="001C6926" w:rsidRDefault="007C4730" w:rsidP="007C4730">
      <w:pPr>
        <w:pStyle w:val="a0"/>
        <w:jc w:val="both"/>
        <w:rPr>
          <w:rFonts w:ascii="宋体" w:hAnsi="宋体" w:cs="Times New Roman"/>
          <w:b w:val="0"/>
          <w:bCs w:val="0"/>
          <w:sz w:val="28"/>
          <w:szCs w:val="28"/>
        </w:rPr>
      </w:pPr>
      <w:r w:rsidRPr="001C6926">
        <w:rPr>
          <w:rFonts w:ascii="宋体" w:hAnsi="宋体" w:cs="Times New Roman" w:hint="eastAsia"/>
          <w:b w:val="0"/>
          <w:bCs w:val="0"/>
          <w:sz w:val="28"/>
          <w:szCs w:val="28"/>
        </w:rPr>
        <w:t>1、软件整体要求</w:t>
      </w:r>
    </w:p>
    <w:p w14:paraId="7C119268" w14:textId="37C9ED52" w:rsidR="007C4730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>
        <w:rPr>
          <w:rFonts w:ascii="宋体" w:eastAsia="宋体" w:hint="eastAsia"/>
          <w:b w:val="0"/>
          <w:szCs w:val="21"/>
        </w:rPr>
        <w:t>1．</w:t>
      </w:r>
      <w:r w:rsidR="007C4730" w:rsidRPr="001C6926">
        <w:rPr>
          <w:rFonts w:ascii="宋体" w:eastAsia="宋体" w:hint="eastAsia"/>
          <w:b w:val="0"/>
          <w:szCs w:val="21"/>
        </w:rPr>
        <w:t>符合</w:t>
      </w:r>
      <w:r>
        <w:rPr>
          <w:rFonts w:ascii="宋体" w:eastAsia="宋体" w:hint="eastAsia"/>
          <w:b w:val="0"/>
          <w:szCs w:val="21"/>
        </w:rPr>
        <w:t>最新版</w:t>
      </w:r>
      <w:r w:rsidR="007C4730" w:rsidRPr="001C6926">
        <w:rPr>
          <w:rFonts w:ascii="宋体" w:eastAsia="宋体" w:hint="eastAsia"/>
          <w:b w:val="0"/>
          <w:szCs w:val="21"/>
        </w:rPr>
        <w:t>的《医院信息互联互通标准化成熟度测评方案</w:t>
      </w:r>
      <w:r w:rsidR="007C4730" w:rsidRPr="001C6926">
        <w:rPr>
          <w:rFonts w:ascii="宋体" w:eastAsia="宋体"/>
          <w:b w:val="0"/>
          <w:szCs w:val="21"/>
        </w:rPr>
        <w:t>(</w:t>
      </w:r>
      <w:r w:rsidR="007C4730" w:rsidRPr="001C6926">
        <w:rPr>
          <w:rFonts w:ascii="宋体" w:eastAsia="宋体" w:hint="eastAsia"/>
          <w:b w:val="0"/>
          <w:szCs w:val="21"/>
        </w:rPr>
        <w:t>最新版</w:t>
      </w:r>
      <w:r w:rsidR="007C4730" w:rsidRPr="001C6926">
        <w:rPr>
          <w:rFonts w:ascii="宋体" w:eastAsia="宋体"/>
          <w:b w:val="0"/>
          <w:szCs w:val="21"/>
        </w:rPr>
        <w:t>)</w:t>
      </w:r>
      <w:r w:rsidR="007C4730" w:rsidRPr="001C6926">
        <w:rPr>
          <w:rFonts w:ascii="宋体" w:eastAsia="宋体" w:hint="eastAsia"/>
          <w:b w:val="0"/>
          <w:szCs w:val="21"/>
        </w:rPr>
        <w:t>》的五级</w:t>
      </w:r>
      <w:r>
        <w:rPr>
          <w:rFonts w:ascii="宋体" w:eastAsia="宋体" w:hint="eastAsia"/>
          <w:b w:val="0"/>
          <w:szCs w:val="21"/>
        </w:rPr>
        <w:t>甲</w:t>
      </w:r>
      <w:r w:rsidR="007C4730" w:rsidRPr="001C6926">
        <w:rPr>
          <w:rFonts w:ascii="宋体" w:eastAsia="宋体" w:hint="eastAsia"/>
          <w:b w:val="0"/>
          <w:szCs w:val="21"/>
        </w:rPr>
        <w:t>等要求。</w:t>
      </w:r>
    </w:p>
    <w:p w14:paraId="1551132A" w14:textId="14AB9168" w:rsidR="001C6926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>
        <w:rPr>
          <w:rFonts w:ascii="宋体" w:eastAsia="宋体" w:hint="eastAsia"/>
          <w:b w:val="0"/>
          <w:szCs w:val="21"/>
        </w:rPr>
        <w:t>2．</w:t>
      </w:r>
      <w:r w:rsidRPr="001C6926">
        <w:rPr>
          <w:rFonts w:ascii="宋体" w:eastAsia="宋体"/>
          <w:b w:val="0"/>
          <w:szCs w:val="21"/>
        </w:rPr>
        <w:t>开放数据库</w:t>
      </w:r>
      <w:r w:rsidRPr="001C6926">
        <w:rPr>
          <w:rFonts w:ascii="宋体" w:eastAsia="宋体" w:hint="eastAsia"/>
          <w:b w:val="0"/>
          <w:szCs w:val="21"/>
        </w:rPr>
        <w:t>并提供表结构</w:t>
      </w:r>
      <w:r w:rsidRPr="001C6926">
        <w:rPr>
          <w:rFonts w:ascii="宋体" w:eastAsia="宋体"/>
          <w:b w:val="0"/>
          <w:szCs w:val="21"/>
        </w:rPr>
        <w:t>，院方可以得到全部数据，而非页面。</w:t>
      </w:r>
    </w:p>
    <w:p w14:paraId="6258FD1C" w14:textId="2AF434DC" w:rsidR="001C6926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>
        <w:rPr>
          <w:rFonts w:ascii="宋体" w:eastAsia="宋体" w:hint="eastAsia"/>
          <w:b w:val="0"/>
          <w:szCs w:val="21"/>
        </w:rPr>
        <w:t>3．</w:t>
      </w:r>
      <w:r w:rsidRPr="001C6926">
        <w:rPr>
          <w:rFonts w:ascii="宋体" w:eastAsia="宋体"/>
          <w:b w:val="0"/>
          <w:szCs w:val="21"/>
        </w:rPr>
        <w:t>开放数据库，院方可以直接插入数据库或调用提供</w:t>
      </w:r>
      <w:proofErr w:type="gramStart"/>
      <w:r w:rsidRPr="001C6926">
        <w:rPr>
          <w:rFonts w:ascii="宋体" w:eastAsia="宋体"/>
          <w:b w:val="0"/>
          <w:szCs w:val="21"/>
        </w:rPr>
        <w:t>商服务</w:t>
      </w:r>
      <w:proofErr w:type="gramEnd"/>
      <w:r w:rsidRPr="001C6926">
        <w:rPr>
          <w:rFonts w:ascii="宋体" w:eastAsia="宋体"/>
          <w:b w:val="0"/>
          <w:szCs w:val="21"/>
        </w:rPr>
        <w:t>的方式</w:t>
      </w:r>
      <w:r w:rsidRPr="001C6926">
        <w:rPr>
          <w:rFonts w:ascii="宋体" w:eastAsia="宋体" w:hint="eastAsia"/>
          <w:b w:val="0"/>
          <w:szCs w:val="21"/>
        </w:rPr>
        <w:t>操作数据库</w:t>
      </w:r>
      <w:r w:rsidRPr="001C6926">
        <w:rPr>
          <w:rFonts w:ascii="宋体" w:eastAsia="宋体"/>
          <w:b w:val="0"/>
          <w:szCs w:val="21"/>
        </w:rPr>
        <w:t>。</w:t>
      </w:r>
    </w:p>
    <w:p w14:paraId="645A5789" w14:textId="229F959A" w:rsidR="001C6926" w:rsidRPr="001C6926" w:rsidRDefault="003E55F1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>
        <w:rPr>
          <w:rFonts w:ascii="宋体" w:eastAsia="宋体" w:hint="eastAsia"/>
          <w:b w:val="0"/>
          <w:szCs w:val="21"/>
        </w:rPr>
        <w:t>4</w:t>
      </w:r>
      <w:r w:rsidR="001C6926">
        <w:rPr>
          <w:rFonts w:ascii="宋体" w:eastAsia="宋体" w:hint="eastAsia"/>
          <w:b w:val="0"/>
          <w:szCs w:val="21"/>
        </w:rPr>
        <w:t>．</w:t>
      </w:r>
      <w:r w:rsidR="001C6926" w:rsidRPr="001C6926">
        <w:rPr>
          <w:rFonts w:ascii="宋体" w:eastAsia="宋体"/>
          <w:b w:val="0"/>
          <w:szCs w:val="21"/>
        </w:rPr>
        <w:t>所有系统接口技术由中标方负责，院方负责协调相关事情。</w:t>
      </w:r>
    </w:p>
    <w:p w14:paraId="78DCFC4E" w14:textId="747A0BCE" w:rsidR="001C6926" w:rsidRPr="001C6926" w:rsidRDefault="003E55F1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>
        <w:rPr>
          <w:rFonts w:ascii="宋体" w:eastAsia="宋体" w:hint="eastAsia"/>
          <w:b w:val="0"/>
          <w:szCs w:val="21"/>
        </w:rPr>
        <w:t>5</w:t>
      </w:r>
      <w:r w:rsidR="001C6926">
        <w:rPr>
          <w:rFonts w:ascii="宋体" w:eastAsia="宋体" w:hint="eastAsia"/>
          <w:b w:val="0"/>
          <w:szCs w:val="21"/>
        </w:rPr>
        <w:t>．</w:t>
      </w:r>
      <w:r w:rsidR="001C6926" w:rsidRPr="001C6926">
        <w:rPr>
          <w:rFonts w:ascii="宋体" w:eastAsia="宋体"/>
          <w:b w:val="0"/>
          <w:szCs w:val="21"/>
        </w:rPr>
        <w:t>承建商负责数据库系统的安装，调优等工作，安装人员具有DBA资质。</w:t>
      </w:r>
    </w:p>
    <w:p w14:paraId="50C83EDC" w14:textId="3EFEA37B" w:rsidR="001C6926" w:rsidRPr="001C6926" w:rsidRDefault="003E55F1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>
        <w:rPr>
          <w:rFonts w:ascii="宋体" w:eastAsia="宋体" w:hint="eastAsia"/>
          <w:b w:val="0"/>
          <w:szCs w:val="21"/>
        </w:rPr>
        <w:t>6</w:t>
      </w:r>
      <w:r w:rsidR="001C6926">
        <w:rPr>
          <w:rFonts w:ascii="宋体" w:eastAsia="宋体" w:hint="eastAsia"/>
          <w:b w:val="0"/>
          <w:szCs w:val="21"/>
        </w:rPr>
        <w:t>．</w:t>
      </w:r>
      <w:r w:rsidR="001C6926" w:rsidRPr="001C6926">
        <w:rPr>
          <w:rFonts w:ascii="宋体" w:eastAsia="宋体"/>
          <w:b w:val="0"/>
          <w:szCs w:val="21"/>
        </w:rPr>
        <w:t>支持集团化医院管理，支持多院区，不得限制院区和终端的数量。</w:t>
      </w:r>
    </w:p>
    <w:p w14:paraId="2D2067F2" w14:textId="2D6A12B9" w:rsidR="001C6926" w:rsidRPr="001C6926" w:rsidRDefault="003E55F1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>
        <w:rPr>
          <w:rFonts w:ascii="宋体" w:eastAsia="宋体" w:hint="eastAsia"/>
          <w:b w:val="0"/>
          <w:szCs w:val="21"/>
        </w:rPr>
        <w:t>7</w:t>
      </w:r>
      <w:r w:rsidR="001C6926">
        <w:rPr>
          <w:rFonts w:ascii="宋体" w:eastAsia="宋体" w:hint="eastAsia"/>
          <w:b w:val="0"/>
          <w:szCs w:val="21"/>
        </w:rPr>
        <w:t>．</w:t>
      </w:r>
      <w:r w:rsidR="001C6926" w:rsidRPr="001C6926">
        <w:rPr>
          <w:rFonts w:ascii="宋体" w:eastAsia="宋体"/>
          <w:b w:val="0"/>
          <w:szCs w:val="21"/>
        </w:rPr>
        <w:t>不得使用技术手段从时间和空间上限制</w:t>
      </w:r>
      <w:r w:rsidR="001C6926" w:rsidRPr="001C6926">
        <w:rPr>
          <w:rFonts w:ascii="宋体" w:eastAsia="宋体" w:hint="eastAsia"/>
          <w:b w:val="0"/>
          <w:szCs w:val="21"/>
        </w:rPr>
        <w:t>各</w:t>
      </w:r>
      <w:r w:rsidR="001C6926" w:rsidRPr="001C6926">
        <w:rPr>
          <w:rFonts w:ascii="宋体" w:eastAsia="宋体"/>
          <w:b w:val="0"/>
          <w:szCs w:val="21"/>
        </w:rPr>
        <w:t>系统的使用</w:t>
      </w:r>
    </w:p>
    <w:p w14:paraId="4F408994" w14:textId="5F873CB3" w:rsidR="001C6926" w:rsidRPr="001C6926" w:rsidRDefault="003E55F1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>
        <w:rPr>
          <w:rFonts w:ascii="宋体" w:eastAsia="宋体" w:hint="eastAsia"/>
          <w:b w:val="0"/>
          <w:szCs w:val="21"/>
        </w:rPr>
        <w:t>8</w:t>
      </w:r>
      <w:r w:rsidR="001C6926">
        <w:rPr>
          <w:rFonts w:ascii="宋体" w:eastAsia="宋体" w:hint="eastAsia"/>
          <w:b w:val="0"/>
          <w:szCs w:val="21"/>
        </w:rPr>
        <w:t>．</w:t>
      </w:r>
      <w:r w:rsidR="001C6926" w:rsidRPr="001C6926">
        <w:rPr>
          <w:rFonts w:ascii="宋体" w:eastAsia="宋体"/>
          <w:b w:val="0"/>
          <w:szCs w:val="21"/>
        </w:rPr>
        <w:t>提供详细的文档资料：中标供应商需要提供完善的文档，并对项目进行过程中的文档进行有效的管理，接受采购方对项目各阶段评估分析和监督管理；整个项目的过程包括后期修改维护提供系统、完整的项目管理、设计和开发、操作说明等书面文档及其电子版；</w:t>
      </w:r>
    </w:p>
    <w:p w14:paraId="33D1DE7C" w14:textId="6897C937" w:rsidR="001C6926" w:rsidRDefault="003E55F1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>
        <w:rPr>
          <w:rFonts w:ascii="宋体" w:eastAsia="宋体" w:hint="eastAsia"/>
          <w:b w:val="0"/>
          <w:szCs w:val="21"/>
        </w:rPr>
        <w:t>9</w:t>
      </w:r>
      <w:r w:rsidR="001C6926">
        <w:rPr>
          <w:rFonts w:ascii="宋体" w:eastAsia="宋体" w:hint="eastAsia"/>
          <w:b w:val="0"/>
          <w:szCs w:val="21"/>
        </w:rPr>
        <w:t>．</w:t>
      </w:r>
      <w:r w:rsidR="001C6926" w:rsidRPr="001C6926">
        <w:rPr>
          <w:rFonts w:ascii="宋体" w:eastAsia="宋体"/>
          <w:b w:val="0"/>
          <w:szCs w:val="21"/>
        </w:rPr>
        <w:t>整个项目需满足符合医院需求的个性化要求</w:t>
      </w:r>
      <w:r w:rsidR="001C6926" w:rsidRPr="001C6926">
        <w:rPr>
          <w:rFonts w:ascii="宋体" w:eastAsia="宋体" w:hint="eastAsia"/>
          <w:b w:val="0"/>
          <w:szCs w:val="21"/>
        </w:rPr>
        <w:t>，</w:t>
      </w:r>
      <w:r>
        <w:rPr>
          <w:rFonts w:ascii="宋体" w:eastAsia="宋体" w:hint="eastAsia"/>
          <w:b w:val="0"/>
          <w:szCs w:val="21"/>
        </w:rPr>
        <w:t>在不改动基本框架的情况下</w:t>
      </w:r>
      <w:r w:rsidR="001C6926" w:rsidRPr="001C6926">
        <w:rPr>
          <w:rFonts w:ascii="宋体" w:eastAsia="宋体"/>
          <w:b w:val="0"/>
          <w:szCs w:val="21"/>
        </w:rPr>
        <w:t>进行客户化修改。</w:t>
      </w:r>
    </w:p>
    <w:p w14:paraId="06DCFE17" w14:textId="573DA9BD" w:rsidR="001C6926" w:rsidRPr="001C6926" w:rsidRDefault="001C6926" w:rsidP="001C6926">
      <w:pPr>
        <w:pStyle w:val="a0"/>
        <w:jc w:val="both"/>
        <w:rPr>
          <w:rFonts w:ascii="宋体" w:hAnsi="宋体" w:cs="Times New Roman"/>
          <w:b w:val="0"/>
          <w:bCs w:val="0"/>
          <w:sz w:val="28"/>
          <w:szCs w:val="28"/>
        </w:rPr>
      </w:pPr>
      <w:r w:rsidRPr="001C6926">
        <w:rPr>
          <w:rFonts w:ascii="宋体" w:hAnsi="宋体" w:cs="Times New Roman" w:hint="eastAsia"/>
          <w:b w:val="0"/>
          <w:bCs w:val="0"/>
          <w:sz w:val="28"/>
          <w:szCs w:val="28"/>
        </w:rPr>
        <w:t>2.软件安全参数要求</w:t>
      </w:r>
    </w:p>
    <w:p w14:paraId="670C66CF" w14:textId="1B45D793" w:rsidR="001C6926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 w:rsidRPr="001C6926">
        <w:rPr>
          <w:rFonts w:ascii="宋体" w:eastAsia="宋体" w:hint="eastAsia"/>
          <w:b w:val="0"/>
          <w:szCs w:val="21"/>
        </w:rPr>
        <w:t>1</w:t>
      </w:r>
      <w:r>
        <w:rPr>
          <w:rFonts w:ascii="宋体" w:eastAsia="宋体" w:hint="eastAsia"/>
          <w:b w:val="0"/>
          <w:szCs w:val="21"/>
        </w:rPr>
        <w:t>．</w:t>
      </w:r>
      <w:r w:rsidRPr="001C6926">
        <w:rPr>
          <w:rFonts w:ascii="宋体" w:eastAsia="宋体" w:hint="eastAsia"/>
          <w:b w:val="0"/>
          <w:szCs w:val="21"/>
        </w:rPr>
        <w:t>系统服务器必须在医院内网安装；</w:t>
      </w:r>
    </w:p>
    <w:p w14:paraId="61D104B7" w14:textId="00B9AD42" w:rsidR="001C6926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 w:rsidRPr="001C6926">
        <w:rPr>
          <w:rFonts w:ascii="宋体" w:eastAsia="宋体" w:hint="eastAsia"/>
          <w:b w:val="0"/>
          <w:szCs w:val="21"/>
        </w:rPr>
        <w:t>2</w:t>
      </w:r>
      <w:r>
        <w:rPr>
          <w:rFonts w:ascii="宋体" w:eastAsia="宋体" w:hint="eastAsia"/>
          <w:b w:val="0"/>
          <w:szCs w:val="21"/>
        </w:rPr>
        <w:t>．</w:t>
      </w:r>
      <w:r w:rsidRPr="001C6926">
        <w:rPr>
          <w:rFonts w:ascii="宋体" w:eastAsia="宋体" w:hint="eastAsia"/>
          <w:b w:val="0"/>
          <w:szCs w:val="21"/>
        </w:rPr>
        <w:t>系统应具备可靠性，确保单点故障等不会对应用造成影响；</w:t>
      </w:r>
    </w:p>
    <w:p w14:paraId="2AAEC170" w14:textId="6067E91F" w:rsidR="001C6926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 w:rsidRPr="001C6926">
        <w:rPr>
          <w:rFonts w:ascii="宋体" w:eastAsia="宋体" w:hint="eastAsia"/>
          <w:b w:val="0"/>
          <w:szCs w:val="21"/>
        </w:rPr>
        <w:t>3</w:t>
      </w:r>
      <w:r>
        <w:rPr>
          <w:rFonts w:ascii="宋体" w:eastAsia="宋体" w:hint="eastAsia"/>
          <w:b w:val="0"/>
          <w:szCs w:val="21"/>
        </w:rPr>
        <w:t>．</w:t>
      </w:r>
      <w:r w:rsidRPr="001C6926">
        <w:rPr>
          <w:rFonts w:ascii="宋体" w:eastAsia="宋体" w:hint="eastAsia"/>
          <w:b w:val="0"/>
          <w:szCs w:val="21"/>
        </w:rPr>
        <w:t>系统必须实现业务安全管理方面的需求，对关键数据的加密存储和传输，提供安全认证方式；</w:t>
      </w:r>
    </w:p>
    <w:p w14:paraId="0D3FC12E" w14:textId="4BE60854" w:rsidR="001C6926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 w:rsidRPr="001C6926">
        <w:rPr>
          <w:rFonts w:ascii="宋体" w:eastAsia="宋体" w:hint="eastAsia"/>
          <w:b w:val="0"/>
          <w:szCs w:val="21"/>
        </w:rPr>
        <w:t>4</w:t>
      </w:r>
      <w:r>
        <w:rPr>
          <w:rFonts w:ascii="宋体" w:eastAsia="宋体" w:hint="eastAsia"/>
          <w:b w:val="0"/>
          <w:szCs w:val="21"/>
        </w:rPr>
        <w:t>．</w:t>
      </w:r>
      <w:r w:rsidRPr="001C6926">
        <w:rPr>
          <w:rFonts w:ascii="宋体" w:eastAsia="宋体" w:hint="eastAsia"/>
          <w:b w:val="0"/>
          <w:szCs w:val="21"/>
        </w:rPr>
        <w:t>系统应保证数据通信的安全性，防止通信数据被监听、窃取、篡改等；</w:t>
      </w:r>
    </w:p>
    <w:p w14:paraId="61E2ACDE" w14:textId="1E0386A8" w:rsidR="001C6926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 w:rsidRPr="001C6926">
        <w:rPr>
          <w:rFonts w:ascii="宋体" w:eastAsia="宋体" w:hint="eastAsia"/>
          <w:b w:val="0"/>
          <w:szCs w:val="21"/>
        </w:rPr>
        <w:t>5</w:t>
      </w:r>
      <w:r>
        <w:rPr>
          <w:rFonts w:ascii="宋体" w:eastAsia="宋体" w:hint="eastAsia"/>
          <w:b w:val="0"/>
          <w:szCs w:val="21"/>
        </w:rPr>
        <w:t>．</w:t>
      </w:r>
      <w:r w:rsidRPr="001C6926">
        <w:rPr>
          <w:rFonts w:ascii="宋体" w:eastAsia="宋体" w:hint="eastAsia"/>
          <w:b w:val="0"/>
          <w:szCs w:val="21"/>
        </w:rPr>
        <w:t>系统应保证通信数据的完整性，并针对项目的整体安全要求，加强信息系统的信息安全保护能力建设；</w:t>
      </w:r>
    </w:p>
    <w:p w14:paraId="500EB277" w14:textId="3B7BC6E8" w:rsidR="001C6926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 w:rsidRPr="001C6926">
        <w:rPr>
          <w:rFonts w:ascii="宋体" w:eastAsia="宋体" w:hint="eastAsia"/>
          <w:b w:val="0"/>
          <w:szCs w:val="21"/>
        </w:rPr>
        <w:t>6</w:t>
      </w:r>
      <w:r>
        <w:rPr>
          <w:rFonts w:ascii="宋体" w:eastAsia="宋体" w:hint="eastAsia"/>
          <w:b w:val="0"/>
          <w:szCs w:val="21"/>
        </w:rPr>
        <w:t>．</w:t>
      </w:r>
      <w:r w:rsidRPr="001C6926">
        <w:rPr>
          <w:rFonts w:ascii="宋体" w:eastAsia="宋体" w:hint="eastAsia"/>
          <w:b w:val="0"/>
          <w:szCs w:val="21"/>
        </w:rPr>
        <w:t>系统应充分考虑数据泄漏风险，对敏感信息进行脱敏加密处理</w:t>
      </w:r>
    </w:p>
    <w:p w14:paraId="6ABD9A80" w14:textId="5E02DDDA" w:rsidR="001C6926" w:rsidRPr="001C6926" w:rsidRDefault="001C6926" w:rsidP="001C6926">
      <w:pPr>
        <w:spacing w:line="360" w:lineRule="auto"/>
        <w:ind w:firstLineChars="200" w:firstLine="420"/>
        <w:rPr>
          <w:rFonts w:ascii="宋体" w:eastAsia="宋体"/>
          <w:b w:val="0"/>
          <w:szCs w:val="21"/>
        </w:rPr>
      </w:pPr>
      <w:r w:rsidRPr="001C6926">
        <w:rPr>
          <w:rFonts w:ascii="宋体" w:eastAsia="宋体" w:hint="eastAsia"/>
          <w:b w:val="0"/>
          <w:szCs w:val="21"/>
        </w:rPr>
        <w:t>7</w:t>
      </w:r>
      <w:r>
        <w:rPr>
          <w:rFonts w:ascii="宋体" w:eastAsia="宋体" w:hint="eastAsia"/>
          <w:b w:val="0"/>
          <w:szCs w:val="21"/>
        </w:rPr>
        <w:t>．</w:t>
      </w:r>
      <w:r w:rsidRPr="001C6926">
        <w:rPr>
          <w:rFonts w:ascii="宋体" w:eastAsia="宋体" w:hint="eastAsia"/>
          <w:b w:val="0"/>
          <w:szCs w:val="21"/>
        </w:rPr>
        <w:t>系统须</w:t>
      </w:r>
      <w:proofErr w:type="gramStart"/>
      <w:r w:rsidRPr="001C6926">
        <w:rPr>
          <w:rFonts w:ascii="宋体" w:eastAsia="宋体" w:hint="eastAsia"/>
          <w:b w:val="0"/>
          <w:szCs w:val="21"/>
        </w:rPr>
        <w:t>符合等保</w:t>
      </w:r>
      <w:proofErr w:type="gramEnd"/>
      <w:r w:rsidRPr="001C6926">
        <w:rPr>
          <w:rFonts w:ascii="宋体" w:eastAsia="宋体" w:hint="eastAsia"/>
          <w:b w:val="0"/>
          <w:szCs w:val="21"/>
        </w:rPr>
        <w:t>2.</w:t>
      </w:r>
      <w:r w:rsidRPr="001C6926">
        <w:rPr>
          <w:rFonts w:ascii="宋体" w:eastAsia="宋体"/>
          <w:b w:val="0"/>
          <w:szCs w:val="21"/>
        </w:rPr>
        <w:t>0</w:t>
      </w:r>
      <w:r w:rsidRPr="001C6926">
        <w:rPr>
          <w:rFonts w:ascii="宋体" w:eastAsia="宋体" w:hint="eastAsia"/>
          <w:b w:val="0"/>
          <w:szCs w:val="21"/>
        </w:rPr>
        <w:t>三级要求</w:t>
      </w:r>
    </w:p>
    <w:p w14:paraId="6B6EC43A" w14:textId="04AF384F" w:rsidR="00674F6D" w:rsidRPr="001C6926" w:rsidRDefault="001C6926" w:rsidP="001C6926">
      <w:pPr>
        <w:pStyle w:val="a0"/>
        <w:jc w:val="both"/>
        <w:rPr>
          <w:rFonts w:ascii="宋体" w:hAnsi="宋体" w:cs="Times New Roman"/>
          <w:b w:val="0"/>
          <w:bCs w:val="0"/>
          <w:sz w:val="28"/>
          <w:szCs w:val="28"/>
        </w:rPr>
      </w:pPr>
      <w:r>
        <w:rPr>
          <w:rFonts w:ascii="宋体" w:hAnsi="宋体" w:cs="Times New Roman"/>
          <w:b w:val="0"/>
          <w:bCs w:val="0"/>
          <w:sz w:val="28"/>
          <w:szCs w:val="28"/>
        </w:rPr>
        <w:t>3</w:t>
      </w:r>
      <w:r w:rsidRPr="001C6926">
        <w:rPr>
          <w:rFonts w:ascii="宋体" w:hAnsi="宋体" w:cs="Times New Roman" w:hint="eastAsia"/>
          <w:b w:val="0"/>
          <w:bCs w:val="0"/>
          <w:sz w:val="28"/>
          <w:szCs w:val="28"/>
        </w:rPr>
        <w:t>.功能清单要求</w:t>
      </w:r>
    </w:p>
    <w:tbl>
      <w:tblPr>
        <w:tblW w:w="9781" w:type="dxa"/>
        <w:tblInd w:w="-147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6804"/>
      </w:tblGrid>
      <w:tr w:rsidR="00674F6D" w:rsidRPr="000F0535" w14:paraId="2E2CCF98" w14:textId="77777777" w:rsidTr="00AD70CC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6ADB9C" w14:textId="77777777" w:rsidR="00674F6D" w:rsidRPr="000F0535" w:rsidRDefault="00674F6D" w:rsidP="00F41277">
            <w:pPr>
              <w:widowControl/>
              <w:jc w:val="center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模块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77B0F0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模块功能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CBA2AE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说明</w:t>
            </w:r>
          </w:p>
        </w:tc>
      </w:tr>
      <w:tr w:rsidR="00674F6D" w:rsidRPr="000F0535" w14:paraId="6AB8F360" w14:textId="77777777" w:rsidTr="00AD70CC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4C0A8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lastRenderedPageBreak/>
              <w:t>血站联网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FF969F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联网订血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41FDF8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与供血机构联网，同步供血机构血液品种信息，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实现订血单据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的网上收发与确认工作，支持按规格和血量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两种订血方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式。</w:t>
            </w:r>
          </w:p>
        </w:tc>
      </w:tr>
      <w:tr w:rsidR="00674F6D" w:rsidRPr="000F0535" w14:paraId="600A408D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5D9360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B9A2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联网入库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8485B4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与供血结构联网，下载供血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机构发血信息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，并完成入库。根据输血科业务，支持核准入库和批量入库。</w:t>
            </w:r>
          </w:p>
        </w:tc>
      </w:tr>
      <w:tr w:rsidR="00674F6D" w:rsidRPr="000F0535" w14:paraId="16D9F18D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B4C4D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8AC8BD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联网退血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43DF4B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退血信息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与血站联网，执行审批流程（输血科发出申请-血站审批-血站退血相关流程），保证血液流动的完整性。</w:t>
            </w:r>
          </w:p>
        </w:tc>
      </w:tr>
      <w:tr w:rsidR="00674F6D" w:rsidRPr="000F0535" w14:paraId="128C2724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6DEF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560D6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血液库存共享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C0ABCF" w14:textId="77777777" w:rsidR="00674F6D" w:rsidRPr="000F0535" w:rsidRDefault="00674F6D" w:rsidP="00F41277">
            <w:pPr>
              <w:widowControl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支持医院血液库存信息上传到血站采供血信息系统。</w:t>
            </w:r>
          </w:p>
        </w:tc>
      </w:tr>
      <w:tr w:rsidR="00674F6D" w:rsidRPr="000F0535" w14:paraId="435854DC" w14:textId="77777777" w:rsidTr="00AD70CC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C6406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库存管理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1B5B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库存明细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3C40DF5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管理库存中血液信息。通过组合条件查看当前血液库存信息。对于血液质量和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效期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有明显颜色标识，方便用户快速定位。系统提供库存明细和汇总报表两种显示方式。</w:t>
            </w:r>
          </w:p>
        </w:tc>
      </w:tr>
      <w:tr w:rsidR="00674F6D" w:rsidRPr="000F0535" w14:paraId="5D12CBB0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C4248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478D2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库存盘点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FE4E68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盘点库存中血袋的数量，并记录盘点状态。</w:t>
            </w:r>
          </w:p>
        </w:tc>
      </w:tr>
      <w:tr w:rsidR="00674F6D" w:rsidRPr="000F0535" w14:paraId="2E6EC365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1D0BF6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609AD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血液搬运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321B021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输血科有分科或者血液分库时，不同血库间可以调拨血袋。</w:t>
            </w:r>
          </w:p>
        </w:tc>
      </w:tr>
      <w:tr w:rsidR="00674F6D" w:rsidRPr="000F0535" w14:paraId="13CAD83A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3FEDD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36FA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手工入库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02E1AE6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通过手工扫码，完成血液信息入库，不受供血结构联网状态的影响。</w:t>
            </w:r>
          </w:p>
        </w:tc>
      </w:tr>
      <w:tr w:rsidR="00674F6D" w:rsidRPr="000F0535" w14:paraId="274557BD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D5E76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B85C8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手工退血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EE80CF0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输血科自行退血，不与血站联网，不受网络环境制约，无相关审批流程，保障输血科业务的灵活性。</w:t>
            </w:r>
          </w:p>
        </w:tc>
      </w:tr>
      <w:tr w:rsidR="00674F6D" w:rsidRPr="000F0535" w14:paraId="16B7BAF2" w14:textId="77777777" w:rsidTr="00AD70CC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3AD93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6B7E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血液效期预警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AA9234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血液超过有效期后，或根据设置的临近失效期预警级别进行及时提醒。</w:t>
            </w:r>
          </w:p>
        </w:tc>
      </w:tr>
      <w:tr w:rsidR="00674F6D" w:rsidRPr="000F0535" w14:paraId="017C428A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BA3F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1F0518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血型复核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2131794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对血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袋进行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ABO血型、Rh（D）血型、不规则抗体筛查等进行复核。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支持入库前、入库后、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配血前三种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复核方式。</w:t>
            </w:r>
          </w:p>
        </w:tc>
      </w:tr>
      <w:tr w:rsidR="00674F6D" w:rsidRPr="000F0535" w14:paraId="783E5675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115D56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65E6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血液报废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0CF3559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对于不合格的血液进行报废处理，并提供相关的查询和统计分析。</w:t>
            </w:r>
          </w:p>
        </w:tc>
      </w:tr>
      <w:tr w:rsidR="00674F6D" w:rsidRPr="000F0535" w14:paraId="427EB185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87B4C4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2E6E7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血液销毁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74F911B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对报废血液进行销毁处理登记。</w:t>
            </w:r>
          </w:p>
        </w:tc>
      </w:tr>
      <w:tr w:rsidR="00674F6D" w:rsidRPr="000F0535" w14:paraId="3C91BE73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6D06C6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98A0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9214645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管理血液产品信息、规格、各项设置。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支持不同血液输血指南设置。</w:t>
            </w:r>
          </w:p>
        </w:tc>
      </w:tr>
      <w:tr w:rsidR="00674F6D" w:rsidRPr="000F0535" w14:paraId="21A89074" w14:textId="77777777" w:rsidTr="00AD70CC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442582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输血科申请管理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FBD0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审核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EE27B80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审核输前指征评估是否合理、申请内容是否合理，库存是否充足等申请内容，驳回原因登记并通过消息返回临床</w:t>
            </w:r>
          </w:p>
        </w:tc>
      </w:tr>
      <w:tr w:rsidR="00674F6D" w:rsidRPr="000F0535" w14:paraId="4B215D37" w14:textId="77777777" w:rsidTr="00AD70CC">
        <w:trPr>
          <w:trHeight w:val="3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A796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D00DE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条码管理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EB32F10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实现用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信息条形码唯一标识管理，并支持条码打印。快速扫描定位查询。</w:t>
            </w:r>
          </w:p>
        </w:tc>
      </w:tr>
      <w:tr w:rsidR="00674F6D" w:rsidRPr="000F0535" w14:paraId="55C09911" w14:textId="77777777" w:rsidTr="00AD70CC">
        <w:trPr>
          <w:trHeight w:val="3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1F01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50F9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申请单颜色管理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137D74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根据申请类型，以不同颜色区分显示申请单。</w:t>
            </w:r>
          </w:p>
        </w:tc>
      </w:tr>
      <w:tr w:rsidR="00674F6D" w:rsidRPr="000F0535" w14:paraId="2BF638F2" w14:textId="77777777" w:rsidTr="00AD70CC"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CF76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6CA05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特殊用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血提示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64FBC43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支持临床申请特殊血液产品用血提示。</w:t>
            </w:r>
          </w:p>
        </w:tc>
      </w:tr>
      <w:tr w:rsidR="00674F6D" w:rsidRPr="000F0535" w14:paraId="05F6946E" w14:textId="77777777" w:rsidTr="00AD70CC"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F3774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2BC3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自体输血申请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6AC438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输血科查看申请单是否完整、体征状态、申请贮存血量等信息。</w:t>
            </w:r>
          </w:p>
        </w:tc>
      </w:tr>
      <w:tr w:rsidR="00674F6D" w:rsidRPr="000F0535" w14:paraId="40F8E7C6" w14:textId="77777777" w:rsidTr="00AD70CC">
        <w:trPr>
          <w:trHeight w:val="150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8EBA4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评估管理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4EECF" w14:textId="77777777" w:rsidR="00674F6D" w:rsidRPr="000F0535" w:rsidRDefault="00674F6D" w:rsidP="00F41277">
            <w:pPr>
              <w:widowControl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输血前评估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12A5B2F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输血前评估：根据患者输血指征、患者体征等，进行输前合理性评估，提示和控制医生用血申请。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支持登记患者体征信息，如血压、呼吸、心率、贫血原因、是否手术、手术类型、失血量、输血前用药、诊断说明等。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根据指征规则对用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单进行综合评估。根据不同科室设定不同输血标准，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不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合标准的申请输血须说明理由。</w:t>
            </w:r>
          </w:p>
        </w:tc>
      </w:tr>
      <w:tr w:rsidR="00674F6D" w:rsidRPr="000F0535" w14:paraId="062E4CF7" w14:textId="77777777" w:rsidTr="00AD70CC">
        <w:trPr>
          <w:trHeight w:val="30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E07EA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66CF5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输血指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征设置</w:t>
            </w:r>
            <w:proofErr w:type="gramEnd"/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2C0E54" w14:textId="77777777" w:rsidR="00674F6D" w:rsidRPr="000F0535" w:rsidRDefault="00674F6D" w:rsidP="00F41277">
            <w:pPr>
              <w:widowControl/>
              <w:jc w:val="left"/>
              <w:textAlignment w:val="top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评价规则可根据用血科室、用血品种、申请单申请类型、临床病种分别进行自由设置，对于不同科室、不同血液品种、不同申请类型、不同临床病种执行不同的评价规则，确保了合理用血统计数据的准确性和完整性。</w:t>
            </w:r>
          </w:p>
        </w:tc>
      </w:tr>
      <w:tr w:rsidR="00674F6D" w:rsidRPr="000F0535" w14:paraId="0FFA2F58" w14:textId="77777777" w:rsidTr="00AD70CC">
        <w:trPr>
          <w:trHeight w:val="34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4B45C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1611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科室指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征设置</w:t>
            </w:r>
            <w:proofErr w:type="gramEnd"/>
          </w:p>
        </w:tc>
        <w:tc>
          <w:tcPr>
            <w:tcW w:w="6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B5F80E" w14:textId="77777777" w:rsidR="00674F6D" w:rsidRPr="000F0535" w:rsidRDefault="00674F6D" w:rsidP="00F41277">
            <w:pPr>
              <w:jc w:val="left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</w:tr>
      <w:tr w:rsidR="00674F6D" w:rsidRPr="000F0535" w14:paraId="6AA1C2B8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F6F8FF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B00B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输血评估统计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1646AA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支持按科室、医生分类，统计不同合理状态申请单的数量和占比情况。</w:t>
            </w:r>
          </w:p>
        </w:tc>
      </w:tr>
      <w:tr w:rsidR="00674F6D" w:rsidRPr="000F0535" w14:paraId="7E548A24" w14:textId="77777777" w:rsidTr="00AD70CC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B7FA50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lastRenderedPageBreak/>
              <w:t>审核管理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0AB75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分级审批规则管理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293EA1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根据卫生部85号令，实现申请血量分级审批。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支持例外申请类型和申请血液品种的设置。</w:t>
            </w:r>
          </w:p>
        </w:tc>
      </w:tr>
      <w:tr w:rsidR="00674F6D" w:rsidRPr="000F0535" w14:paraId="2A077E82" w14:textId="77777777" w:rsidTr="00AD70CC">
        <w:trPr>
          <w:trHeight w:val="57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47740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F829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审批流程定制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76147AD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支持多种审核流程环节设置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临床→输血科→医务科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临床→医务科→输血科等</w:t>
            </w:r>
          </w:p>
        </w:tc>
      </w:tr>
      <w:tr w:rsidR="00674F6D" w:rsidRPr="000F0535" w14:paraId="694B90CA" w14:textId="77777777" w:rsidTr="00AD70CC">
        <w:trPr>
          <w:trHeight w:val="7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CFFB7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3AFC0D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大量用血审批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9E46035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大量用血审批：根据卫生部85号令要求，在24小时内申请血量达到800ml时，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须科主任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审批；申请血量达到1600ml时，须医务科审批。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同一患者一次用（备）血或同一患者24h内用（备）血累积≥1600ml时，须医务科进行大量用血审批。</w:t>
            </w:r>
          </w:p>
        </w:tc>
      </w:tr>
      <w:tr w:rsidR="00674F6D" w:rsidRPr="000F0535" w14:paraId="216A5AC7" w14:textId="77777777" w:rsidTr="00AD70CC">
        <w:trPr>
          <w:trHeight w:val="3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FE96C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EB6B18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用血审批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1785BE6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发血超过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规定限额，紧急用血时未进行大量用血审批时，进行审批单补录。</w:t>
            </w:r>
          </w:p>
        </w:tc>
      </w:tr>
      <w:tr w:rsidR="00674F6D" w:rsidRPr="000F0535" w14:paraId="7AF68B7A" w14:textId="77777777" w:rsidTr="00AD70CC">
        <w:trPr>
          <w:trHeight w:val="3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93E1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EC76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异型输注审批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073865D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特殊情况时，需要进行非同型输注时，进行相关审核审批流程。</w:t>
            </w:r>
          </w:p>
        </w:tc>
      </w:tr>
      <w:tr w:rsidR="00674F6D" w:rsidRPr="000F0535" w14:paraId="3C72B2FF" w14:textId="77777777" w:rsidTr="00AD70CC">
        <w:trPr>
          <w:trHeight w:val="1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1C486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输血检验管理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ED369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患者检测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D547754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手工方式登记患者检测信息。</w:t>
            </w:r>
          </w:p>
        </w:tc>
      </w:tr>
      <w:tr w:rsidR="00674F6D" w:rsidRPr="000F0535" w14:paraId="61D9A0A0" w14:textId="77777777" w:rsidTr="00AD70CC"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49C68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配血管理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2772D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配血回退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B2A10F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针对特殊经过审批患者进行配血回退，并取消相关配血费用。</w:t>
            </w:r>
          </w:p>
        </w:tc>
      </w:tr>
      <w:tr w:rsidR="00674F6D" w:rsidRPr="000F0535" w14:paraId="7F66BFE7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F414B4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B43E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配血规则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F8371A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备血规则、配血计费规则、不同配血结果的血液发放规则、ABO血型与Rh血型异型配血规则等</w:t>
            </w:r>
          </w:p>
        </w:tc>
      </w:tr>
      <w:tr w:rsidR="00674F6D" w:rsidRPr="000F0535" w14:paraId="1D2B45DD" w14:textId="77777777" w:rsidTr="00AD70CC">
        <w:trPr>
          <w:trHeight w:val="75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DCEA7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1CBB1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快捷发血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241461C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常规输血或抢救输血时，输血科可以同时登记血型复检、配血报告、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发血报告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信息，完成血液出库。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支持配血相合标签打印。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支持临床取血提醒和报告单查看。</w:t>
            </w:r>
          </w:p>
        </w:tc>
      </w:tr>
      <w:tr w:rsidR="00674F6D" w:rsidRPr="000F0535" w14:paraId="31F193C3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23F0C7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8C35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临床退血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FCA60D5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实现临床血液退回入库、退费的功能。</w:t>
            </w:r>
          </w:p>
        </w:tc>
      </w:tr>
      <w:tr w:rsidR="00674F6D" w:rsidRPr="000F0535" w14:paraId="1AB1B485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E6527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B3D5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血液输注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AC3673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为二级医院提供血液输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注关键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信息登记。</w:t>
            </w:r>
          </w:p>
        </w:tc>
      </w:tr>
      <w:tr w:rsidR="00674F6D" w:rsidRPr="000F0535" w14:paraId="4CF69D1E" w14:textId="77777777" w:rsidTr="00AD70CC"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70485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血袋回收管理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25309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血袋回收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AC6F01E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支持通过扫描条形码记录血袋回收信息，避免血袋收集遗漏。</w:t>
            </w:r>
          </w:p>
        </w:tc>
      </w:tr>
      <w:tr w:rsidR="00674F6D" w:rsidRPr="000F0535" w14:paraId="5FA2D05D" w14:textId="77777777" w:rsidTr="00AD70CC"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66928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CF488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血袋销毁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2ADC673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血袋回收超过24小时后集中销毁登记。</w:t>
            </w:r>
          </w:p>
        </w:tc>
      </w:tr>
      <w:tr w:rsidR="00674F6D" w:rsidRPr="000F0535" w14:paraId="665060CE" w14:textId="77777777" w:rsidTr="00AD70CC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06E89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输血反应管理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3D33B7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输血反应登记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F5EB4B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由临床科室、输血科、护士站进行输血反应登记。</w:t>
            </w:r>
          </w:p>
        </w:tc>
      </w:tr>
      <w:tr w:rsidR="00674F6D" w:rsidRPr="000F0535" w14:paraId="0AD8A3DE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9EA06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7C093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输血反应反馈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79C071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对输血不良反应进行追踪管理，实现输血科对临床不良反应处置业务指导和反馈，以及相应实验的反馈。</w:t>
            </w:r>
          </w:p>
        </w:tc>
      </w:tr>
      <w:tr w:rsidR="00674F6D" w:rsidRPr="000F0535" w14:paraId="5ADEA9AD" w14:textId="77777777" w:rsidTr="00AD70CC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1335F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自体血管理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94487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自体输血入库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E96D10C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自体血液入库：实现自体血入库管理。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支持自体血标签管理和打印。</w:t>
            </w:r>
          </w:p>
        </w:tc>
      </w:tr>
      <w:tr w:rsidR="00674F6D" w:rsidRPr="000F0535" w14:paraId="69A06308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03667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3DE1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自体血液库存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3FCF06E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管理自体血库存信息。</w:t>
            </w:r>
          </w:p>
        </w:tc>
      </w:tr>
      <w:tr w:rsidR="00674F6D" w:rsidRPr="000F0535" w14:paraId="46D0AAD9" w14:textId="77777777" w:rsidTr="00AD70CC">
        <w:trPr>
          <w:trHeight w:val="57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41727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F9069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自体输血出库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7DA285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支持门诊储血住院用，支持两次不同住院储血用血。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实现自体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血发血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出库管理。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支持自体血分批出库。</w:t>
            </w:r>
          </w:p>
        </w:tc>
      </w:tr>
      <w:tr w:rsidR="00674F6D" w:rsidRPr="000F0535" w14:paraId="7BC86027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71B3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1B619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自体血液报废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C7BFDE7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实现自体血过期报废管理。</w:t>
            </w:r>
          </w:p>
        </w:tc>
      </w:tr>
      <w:tr w:rsidR="00674F6D" w:rsidRPr="000F0535" w14:paraId="1E9F7410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DC52F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227037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自体血袋回收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37ED83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支持自体血袋回收管理。</w:t>
            </w:r>
          </w:p>
        </w:tc>
      </w:tr>
      <w:tr w:rsidR="00674F6D" w:rsidRPr="000F0535" w14:paraId="3AA94F19" w14:textId="77777777" w:rsidTr="00AD70CC">
        <w:trPr>
          <w:trHeight w:val="5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44980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输血评价管理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49C7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输血后评价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23BA28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临床医生记录输血后评价信息。包括输血明细、体征改善、输血疗效、不良反应及处理措施、合理性医生评价、输血科反馈等。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支持生成输血病历。</w:t>
            </w:r>
          </w:p>
        </w:tc>
      </w:tr>
      <w:tr w:rsidR="00674F6D" w:rsidRPr="000F0535" w14:paraId="251E24F2" w14:textId="77777777" w:rsidTr="00AD70CC">
        <w:trPr>
          <w:trHeight w:val="3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C3F4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3A44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输血后评价反馈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6617DA6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输血科对临床输血后评价（医生自评），进行二次评价，包括输血疗效、输血合理性等。</w:t>
            </w:r>
          </w:p>
        </w:tc>
      </w:tr>
      <w:tr w:rsidR="00674F6D" w:rsidRPr="000F0535" w14:paraId="1C4713C4" w14:textId="77777777" w:rsidTr="00AD70CC">
        <w:trPr>
          <w:trHeight w:val="2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7C110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5634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输血疗效统计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DF583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按照输血指征，统计患者输前后体征改善情况。</w:t>
            </w:r>
          </w:p>
        </w:tc>
      </w:tr>
      <w:tr w:rsidR="00674F6D" w:rsidRPr="000F0535" w14:paraId="23BCD018" w14:textId="77777777" w:rsidTr="00AD70CC">
        <w:trPr>
          <w:trHeight w:val="24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CE070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002D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输后评价统计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AAAD07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统计输注血液的合理性评价，包含是否评价、合理状态等。</w:t>
            </w:r>
          </w:p>
        </w:tc>
      </w:tr>
      <w:tr w:rsidR="00674F6D" w:rsidRPr="000F0535" w14:paraId="58613766" w14:textId="77777777" w:rsidTr="00AD70CC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87E796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lastRenderedPageBreak/>
              <w:t>统计分析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CC282F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统计分析-患者分析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2E398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患者血型分布：根据住院患者血型，统计各血型的患者数量。</w:t>
            </w:r>
          </w:p>
        </w:tc>
      </w:tr>
      <w:tr w:rsidR="00674F6D" w:rsidRPr="000F0535" w14:paraId="53DB8611" w14:textId="77777777" w:rsidTr="00AD70CC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7289C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FDB95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BD3D0B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患者用血汇总：按照科室，统计患者的申请数、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发血次数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、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袋数、反应次数、血站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配血数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和自体输血次数。</w:t>
            </w:r>
          </w:p>
        </w:tc>
      </w:tr>
      <w:tr w:rsidR="00674F6D" w:rsidRPr="000F0535" w14:paraId="4841E0A1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3276D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C44A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E1D1F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患者输血排名：按照血液品种，统计患者的用血总量排名。</w:t>
            </w:r>
          </w:p>
        </w:tc>
      </w:tr>
      <w:tr w:rsidR="00674F6D" w:rsidRPr="000F0535" w14:paraId="0F8C7050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5354C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863C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7E0EA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超量用血统计：统计超量用血的患者用血信息。</w:t>
            </w:r>
          </w:p>
        </w:tc>
      </w:tr>
      <w:tr w:rsidR="00674F6D" w:rsidRPr="000F0535" w14:paraId="590BAD8F" w14:textId="77777777" w:rsidTr="00AD70CC">
        <w:trPr>
          <w:trHeight w:val="7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D77E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AE3775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2491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申请品种/类别汇总：按照用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的类型、血液品种和血型，统计申请的血量。</w:t>
            </w:r>
          </w:p>
        </w:tc>
      </w:tr>
      <w:tr w:rsidR="00674F6D" w:rsidRPr="000F0535" w14:paraId="415E6EBC" w14:textId="77777777" w:rsidTr="00AD70CC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E207D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1379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DC5EA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申请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与发血对比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：按照科室、申请类型、血液品种，统计申请血量与实发血量的对比。</w:t>
            </w:r>
          </w:p>
        </w:tc>
      </w:tr>
      <w:tr w:rsidR="00674F6D" w:rsidRPr="000F0535" w14:paraId="39F88049" w14:textId="77777777" w:rsidTr="00AD70CC">
        <w:trPr>
          <w:trHeight w:val="7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AFC2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379C63" w14:textId="77777777" w:rsidR="00674F6D" w:rsidRPr="000F0535" w:rsidRDefault="00674F6D" w:rsidP="00F41277">
            <w:pPr>
              <w:widowControl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统计分析-配血统计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C775B5A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配血结果明细与配血汇总统计</w:t>
            </w:r>
          </w:p>
        </w:tc>
      </w:tr>
      <w:tr w:rsidR="00674F6D" w:rsidRPr="000F0535" w14:paraId="70E5A959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5E3C47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B1567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统计分析-发血统计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117AA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申请类型发血统计：按照申请类型、科室统计用血量。</w:t>
            </w:r>
          </w:p>
        </w:tc>
      </w:tr>
      <w:tr w:rsidR="00674F6D" w:rsidRPr="000F0535" w14:paraId="5CBC84C7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EBE4F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F7A3A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E3E66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血液品种发血统计：按照血液类别，统计科室的用血人次、用血量。</w:t>
            </w:r>
          </w:p>
        </w:tc>
      </w:tr>
      <w:tr w:rsidR="00674F6D" w:rsidRPr="000F0535" w14:paraId="4A98D4CC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3EA93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EDDA60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DF6E57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发血同比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分析：按照年/月统计各个科室同比上一年的用血情况。</w:t>
            </w:r>
          </w:p>
        </w:tc>
      </w:tr>
      <w:tr w:rsidR="00674F6D" w:rsidRPr="000F0535" w14:paraId="02E689E5" w14:textId="77777777" w:rsidTr="00AD70CC">
        <w:trPr>
          <w:trHeight w:val="7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28841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60CC2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51E4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科室用血量和人次汇总：统计科室的用血人次和用血量。</w:t>
            </w:r>
          </w:p>
        </w:tc>
      </w:tr>
      <w:tr w:rsidR="00674F6D" w:rsidRPr="000F0535" w14:paraId="526D1561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44D2F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DE6C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6A849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成分输血率：按照血液大类，统计科室的输血量及成分输血率。</w:t>
            </w:r>
          </w:p>
        </w:tc>
      </w:tr>
      <w:tr w:rsidR="00674F6D" w:rsidRPr="000F0535" w14:paraId="758A7C2C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A0E7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6AD2F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2C036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备发血量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对比：统计一段时间内各科室备血量及发血量。</w:t>
            </w:r>
          </w:p>
        </w:tc>
      </w:tr>
      <w:tr w:rsidR="00674F6D" w:rsidRPr="000F0535" w14:paraId="10246724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CA9F5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EBFA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1BC36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医生用血分析：按照血液品种，统计临床医生的用血量。</w:t>
            </w:r>
          </w:p>
        </w:tc>
      </w:tr>
      <w:tr w:rsidR="00674F6D" w:rsidRPr="000F0535" w14:paraId="2E690DA7" w14:textId="77777777" w:rsidTr="00AD70CC">
        <w:trPr>
          <w:trHeight w:val="7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959B4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73E744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7BCCB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用血排名：统计某季度红细胞用血量为前五名的科室和医生。</w:t>
            </w:r>
          </w:p>
        </w:tc>
      </w:tr>
      <w:tr w:rsidR="00674F6D" w:rsidRPr="000F0535" w14:paraId="4C35EAAD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3D879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7E0CF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C8321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手术用血分析：根据手术类型，统计不同科室、不同品种的发血量。</w:t>
            </w:r>
          </w:p>
        </w:tc>
      </w:tr>
      <w:tr w:rsidR="00674F6D" w:rsidRPr="000F0535" w14:paraId="1BBA729A" w14:textId="77777777" w:rsidTr="00AD70CC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78DEA4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213B7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统计分析-病种用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血分析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BB4107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病种用血汇总：按用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单病种，统计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一段发血时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间内的用血人次、用血量和平均用血量。</w:t>
            </w:r>
          </w:p>
        </w:tc>
      </w:tr>
      <w:tr w:rsidR="00674F6D" w:rsidRPr="000F0535" w14:paraId="4EF98D0D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CB353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C66750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762F1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病种用血趋势：按用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单病种，分析每月的用血量的趋势。</w:t>
            </w:r>
          </w:p>
        </w:tc>
      </w:tr>
      <w:tr w:rsidR="00674F6D" w:rsidRPr="000F0535" w14:paraId="76FB0257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A503B0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8B5A38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0E3AB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单病种用血统计：按照单病种、申请医师、血液品种，统计申请血量和发血量。</w:t>
            </w:r>
          </w:p>
        </w:tc>
      </w:tr>
      <w:tr w:rsidR="00674F6D" w:rsidRPr="000F0535" w14:paraId="423602EC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95C10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1B52CF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统计分析-输血反应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448F3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输血反应结果统计：按照申请时间、申请类型、科室，统计输血反应情况。</w:t>
            </w:r>
          </w:p>
        </w:tc>
      </w:tr>
      <w:tr w:rsidR="00674F6D" w:rsidRPr="000F0535" w14:paraId="170BA0B1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1AF37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FA42D6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3179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输血反应血液品种统计：按照血液品种，统计输血反应情况。</w:t>
            </w:r>
          </w:p>
        </w:tc>
      </w:tr>
      <w:tr w:rsidR="00674F6D" w:rsidRPr="000F0535" w14:paraId="13FBED48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2074AD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8EA8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BA73DF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输血反应临床诊断统计：按照临床诊断，统计输血反应情况。</w:t>
            </w:r>
          </w:p>
        </w:tc>
      </w:tr>
      <w:tr w:rsidR="00674F6D" w:rsidRPr="000F0535" w14:paraId="21C77320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AB0A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E709A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9F42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输血反应医生统计：统计不同医生的输血反应情况。</w:t>
            </w:r>
          </w:p>
        </w:tc>
      </w:tr>
      <w:tr w:rsidR="00674F6D" w:rsidRPr="000F0535" w14:paraId="5A4CCAE2" w14:textId="77777777" w:rsidTr="00AD70CC">
        <w:trPr>
          <w:trHeight w:val="7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9863F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41118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统计分析-库存统计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49D3B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血液出入库汇总：按照血液品种、规格、血型，统计血液出/入库的血量和袋数。</w:t>
            </w:r>
          </w:p>
        </w:tc>
      </w:tr>
      <w:tr w:rsidR="00674F6D" w:rsidRPr="000F0535" w14:paraId="474A2470" w14:textId="77777777" w:rsidTr="00AD70CC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51E2C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32D0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3B52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血库综合月报：按照血液品种、ABO血型，统计库存期初、期末、入库、出库的袋数和血量。</w:t>
            </w:r>
          </w:p>
        </w:tc>
      </w:tr>
      <w:tr w:rsidR="00674F6D" w:rsidRPr="000F0535" w14:paraId="41994231" w14:textId="77777777" w:rsidTr="00AD70CC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64B32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39D088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统计分析-报废统计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01EAC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血液品种报废汇总：按照血液品种、报废原因，统计各血型血液报废的袋数、血量和报废率。</w:t>
            </w:r>
          </w:p>
        </w:tc>
      </w:tr>
      <w:tr w:rsidR="00674F6D" w:rsidRPr="000F0535" w14:paraId="32DDD0DD" w14:textId="77777777" w:rsidTr="00AD70CC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D207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3C2FC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FC0F2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报废原因分析：按照报废原因、血液品种、规格，统计各血型血液报废的袋数、血量和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报废占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比。</w:t>
            </w:r>
          </w:p>
        </w:tc>
      </w:tr>
      <w:tr w:rsidR="00674F6D" w:rsidRPr="000F0535" w14:paraId="4643A6F4" w14:textId="77777777" w:rsidTr="00AD70CC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280A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2D923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4FB0F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报废费用汇总：按照血液品种、规格，统计各血型血液报废的袋数、血量和血费。</w:t>
            </w:r>
          </w:p>
        </w:tc>
      </w:tr>
      <w:tr w:rsidR="00674F6D" w:rsidRPr="000F0535" w14:paraId="487AEE70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68A83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A6B6C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统计分析-自体输血统计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7EA7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自体血入库汇总：按照科室统计自体血入库信息。</w:t>
            </w:r>
          </w:p>
        </w:tc>
      </w:tr>
      <w:tr w:rsidR="00674F6D" w:rsidRPr="000F0535" w14:paraId="398E1F9A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1A074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6A276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3570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自体血出库汇总：按照科室统计自体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血发血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信息。</w:t>
            </w:r>
          </w:p>
        </w:tc>
      </w:tr>
      <w:tr w:rsidR="00674F6D" w:rsidRPr="000F0535" w14:paraId="3DA91D93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5F273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F7140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584DB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自体输血率：按照科室，统计自体血与红细胞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的发血比例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。</w:t>
            </w:r>
          </w:p>
        </w:tc>
      </w:tr>
      <w:tr w:rsidR="00674F6D" w:rsidRPr="000F0535" w14:paraId="1B76BEBD" w14:textId="77777777" w:rsidTr="00AD70CC">
        <w:trPr>
          <w:trHeight w:val="7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E0529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CC471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CF081B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贮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血量医生/科室汇总：按照临床医生/科室，统计自体贮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量和入库量。</w:t>
            </w:r>
          </w:p>
        </w:tc>
      </w:tr>
      <w:tr w:rsidR="00674F6D" w:rsidRPr="000F0535" w14:paraId="49C892CA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024B7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0D41F9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统计分析-输血科统计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8977D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临床科室费用明细：按照科室、收费类型，统计收费明细。</w:t>
            </w:r>
          </w:p>
        </w:tc>
      </w:tr>
      <w:tr w:rsidR="00674F6D" w:rsidRPr="000F0535" w14:paraId="19C5880F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43D4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09EB8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5DA5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临床科室费用汇总：按照收费类型、科室，统计收费次数和金额。</w:t>
            </w:r>
          </w:p>
        </w:tc>
      </w:tr>
      <w:tr w:rsidR="00674F6D" w:rsidRPr="000F0535" w14:paraId="19592D7A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015C20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805B4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F883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工作统计：统计科室员工的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配发血工作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信息，并按照血液类别汇总配发血量。</w:t>
            </w:r>
          </w:p>
        </w:tc>
      </w:tr>
      <w:tr w:rsidR="00674F6D" w:rsidRPr="000F0535" w14:paraId="7396949D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25B18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D5CE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27BD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工作量占比分析：统计科室人员在各业务环节的工作量。</w:t>
            </w:r>
          </w:p>
        </w:tc>
      </w:tr>
      <w:tr w:rsidR="00674F6D" w:rsidRPr="000F0535" w14:paraId="18AA1D72" w14:textId="77777777" w:rsidTr="00AD70CC">
        <w:trPr>
          <w:trHeight w:val="22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D0483D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费用管理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703A1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费用管理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70FD16" w14:textId="378F126C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实现计费、终止计费、退费、费用核对等功能。</w:t>
            </w:r>
          </w:p>
        </w:tc>
      </w:tr>
      <w:tr w:rsidR="00674F6D" w:rsidRPr="000F0535" w14:paraId="78C62A9E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859D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DB1BCA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入库单价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C6054C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维护或从血站获取血液入库价格</w:t>
            </w:r>
          </w:p>
        </w:tc>
      </w:tr>
      <w:tr w:rsidR="00674F6D" w:rsidRPr="000F0535" w14:paraId="527F861C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5DF2D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39533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出库单价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239E7D5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根据当地物价文件维护用血费用。</w:t>
            </w:r>
          </w:p>
        </w:tc>
      </w:tr>
      <w:tr w:rsidR="00674F6D" w:rsidRPr="000F0535" w14:paraId="3060F282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48AEB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62CA4A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自体血价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4F75ABD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根据当地物价文件维护自体用血费用。</w:t>
            </w:r>
          </w:p>
        </w:tc>
      </w:tr>
      <w:tr w:rsidR="00674F6D" w:rsidRPr="000F0535" w14:paraId="12B014B9" w14:textId="77777777" w:rsidTr="00AD70CC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4423A5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追溯管理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18302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患者追溯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FD3A3D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实现患者历次输血情况全程跟踪管理，提高医院对患者的服务质量。输入病案号，可查询患者的用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信息、检验信息、配血信息、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发血信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息等。</w:t>
            </w:r>
          </w:p>
        </w:tc>
      </w:tr>
      <w:tr w:rsidR="00674F6D" w:rsidRPr="000F0535" w14:paraId="5A165EF1" w14:textId="77777777" w:rsidTr="00AD70CC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7B987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52BFD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血液追溯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54860" w14:textId="77777777" w:rsidR="00674F6D" w:rsidRPr="000F0535" w:rsidRDefault="00674F6D" w:rsidP="00F41277">
            <w:pPr>
              <w:widowControl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实现血液整体流动过程追踪控制，确保血液信息的完整性和一致性。输入献血码，可查看血袋的入库、复核、交叉配血、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发血出库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、输注、回收等信息。</w:t>
            </w:r>
          </w:p>
        </w:tc>
      </w:tr>
      <w:tr w:rsidR="00674F6D" w:rsidRPr="000F0535" w14:paraId="4B2161B0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53C1D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FE1FA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系统审计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2D0B90" w14:textId="77777777" w:rsidR="00674F6D" w:rsidRPr="000F0535" w:rsidRDefault="00674F6D" w:rsidP="00F41277">
            <w:pPr>
              <w:widowControl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记录系统中的所有操作痕迹，全面保障信息安全。</w:t>
            </w:r>
          </w:p>
        </w:tc>
      </w:tr>
      <w:tr w:rsidR="00674F6D" w:rsidRPr="000F0535" w14:paraId="53C86515" w14:textId="77777777" w:rsidTr="00AD70CC"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AD76A0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接口管理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CC23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接口监控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DA3E657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记录所有对接系统数据传输的状态信息。</w:t>
            </w:r>
          </w:p>
        </w:tc>
      </w:tr>
      <w:tr w:rsidR="00674F6D" w:rsidRPr="000F0535" w14:paraId="7E32FAE1" w14:textId="77777777" w:rsidTr="00AD70CC"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DAA96D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A2896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接口管理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A7ED15F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管理配置所有接口设置。</w:t>
            </w:r>
          </w:p>
        </w:tc>
      </w:tr>
      <w:tr w:rsidR="00674F6D" w:rsidRPr="000F0535" w14:paraId="37DA9A5F" w14:textId="77777777" w:rsidTr="00AD70CC"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CF93FC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报表与标签管理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6CE2F8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报表配置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4C1551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配置在用报表版本，可根据情况选择不同版本。</w:t>
            </w:r>
          </w:p>
        </w:tc>
      </w:tr>
      <w:tr w:rsidR="00674F6D" w:rsidRPr="000F0535" w14:paraId="21512107" w14:textId="77777777" w:rsidTr="00AD70CC"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60EF1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C181F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报表设计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FA32863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本地绘制报表，包括统计报表、申请单、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配发血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报告单等</w:t>
            </w:r>
          </w:p>
        </w:tc>
      </w:tr>
      <w:tr w:rsidR="00674F6D" w:rsidRPr="000F0535" w14:paraId="52D6FFB4" w14:textId="77777777" w:rsidTr="00AD70CC">
        <w:trPr>
          <w:trHeight w:val="28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6CD2D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0B4DB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标签设计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704FC" w14:textId="77777777" w:rsidR="00674F6D" w:rsidRPr="000F0535" w:rsidRDefault="00674F6D" w:rsidP="00F41277">
            <w:pPr>
              <w:widowControl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设计配血标签、采血标签、自体血标签等。</w:t>
            </w:r>
          </w:p>
        </w:tc>
      </w:tr>
      <w:tr w:rsidR="00674F6D" w:rsidRPr="000F0535" w14:paraId="5381CA70" w14:textId="77777777" w:rsidTr="00AD70CC"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C732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7AAC68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打印机设置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34FAAE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修改调整打印机设置，允许连接多台打印机。</w:t>
            </w:r>
          </w:p>
        </w:tc>
      </w:tr>
      <w:tr w:rsidR="00674F6D" w:rsidRPr="000F0535" w14:paraId="10BF6367" w14:textId="77777777" w:rsidTr="00AD70CC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4013BD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系统设置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2067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参数设置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FEBDAC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用于维护系统各种功能开启的状态，以便系统根据现场业务流程规则和参数来运行。</w:t>
            </w:r>
          </w:p>
        </w:tc>
      </w:tr>
      <w:tr w:rsidR="00674F6D" w:rsidRPr="000F0535" w14:paraId="618454DE" w14:textId="77777777" w:rsidTr="00AD70CC">
        <w:trPr>
          <w:trHeight w:val="57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5519D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0CC57FD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科室管理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A5888C8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用于维护输血科和其他用血科室信息。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系统支持多级科室。当系统启用医院信息管理系统（HIS）接口时，科室信息可由医院信息管理系统（HIS）直接下载，无需手工维护。</w:t>
            </w:r>
          </w:p>
        </w:tc>
      </w:tr>
      <w:tr w:rsidR="00674F6D" w:rsidRPr="000F0535" w14:paraId="05594B46" w14:textId="77777777" w:rsidTr="00AD70CC"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B8BE4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8D71A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职工管理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10DF74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用于维护输血科和用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科室相关人员的权限和岗位信息。</w:t>
            </w:r>
          </w:p>
        </w:tc>
      </w:tr>
      <w:tr w:rsidR="00674F6D" w:rsidRPr="000F0535" w14:paraId="0A71AF22" w14:textId="77777777" w:rsidTr="00AD70CC">
        <w:trPr>
          <w:trHeight w:val="7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A95FA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7250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字典数据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3E3EFC1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用于系统中的基础数据、字典信息的维护。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包含订血类型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、病区信息、输血目的、血型复核方法、检测项目类型、计费项目、检测项目、检测结果、检测方案、临床表现、申请类型、原因字典、预警级别、临床病种、特殊标识设置、血液规格、供血机构、计费标准、医保类别、评价标准。</w:t>
            </w:r>
          </w:p>
        </w:tc>
      </w:tr>
      <w:tr w:rsidR="00674F6D" w:rsidRPr="000F0535" w14:paraId="0161AF55" w14:textId="77777777" w:rsidTr="00AD70CC">
        <w:trPr>
          <w:trHeight w:val="57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8741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6B17F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界面本地化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82FE47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用于用血申请、检测、配、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发血等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业务流程中的患者基本信息、单据信息、明细信息显示项的配置，以及科室用血统计报表查询条件的自定义设置和功能控制。</w:t>
            </w:r>
          </w:p>
        </w:tc>
      </w:tr>
      <w:tr w:rsidR="00674F6D" w:rsidRPr="000F0535" w14:paraId="09907339" w14:textId="77777777" w:rsidTr="00AD70CC"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8FF293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lastRenderedPageBreak/>
              <w:t>系统预警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9A8B2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失效期预警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6A9C252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根据不同医院情况设置不同血液产品的临近失效期与失效期预警。</w:t>
            </w:r>
          </w:p>
        </w:tc>
      </w:tr>
      <w:tr w:rsidR="00674F6D" w:rsidRPr="000F0535" w14:paraId="13D49B4A" w14:textId="77777777" w:rsidTr="00AD70CC">
        <w:trPr>
          <w:trHeight w:val="3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A1045D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10F2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库存预警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E1FC4FB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根据医院情况设置不同血液产品不同血型的库存预警。可设置不同预警级别。</w:t>
            </w:r>
          </w:p>
        </w:tc>
      </w:tr>
      <w:tr w:rsidR="00674F6D" w:rsidRPr="000F0535" w14:paraId="6592AD1B" w14:textId="77777777" w:rsidTr="00AD70CC">
        <w:trPr>
          <w:trHeight w:val="19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56320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C9658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预警提醒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8497822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设置消息类提醒，提醒申请完成、输血反应、特殊患者等设置。</w:t>
            </w:r>
          </w:p>
        </w:tc>
      </w:tr>
      <w:tr w:rsidR="00674F6D" w:rsidRPr="000F0535" w14:paraId="09F8E1A8" w14:textId="77777777" w:rsidTr="00AD70CC">
        <w:trPr>
          <w:trHeight w:val="3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7CF3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4FB66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血液需求预警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14D350D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根据设置的基础库存，各科室基础使用量，各科室实际使用量等多项参数后自动计算预警血液需求预警。</w:t>
            </w:r>
          </w:p>
        </w:tc>
      </w:tr>
      <w:tr w:rsidR="00674F6D" w:rsidRPr="000F0535" w14:paraId="6628D13E" w14:textId="77777777" w:rsidTr="00AD70CC">
        <w:trPr>
          <w:trHeight w:val="37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F5AAC6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52A8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提醒设置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D5CA4BD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用于设置血液库存和血液效期的预警范围和级别。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同时支持对于其他系统相关预警或提醒设置。</w:t>
            </w:r>
          </w:p>
        </w:tc>
      </w:tr>
      <w:tr w:rsidR="00674F6D" w:rsidRPr="000F0535" w14:paraId="4B6B7679" w14:textId="77777777" w:rsidTr="00AD70CC">
        <w:trPr>
          <w:trHeight w:val="1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03361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机构管理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EFF3BF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血站机构管理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66A242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设置维护单一或多家血站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订发血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或其他数据对接。</w:t>
            </w:r>
          </w:p>
        </w:tc>
      </w:tr>
      <w:tr w:rsidR="00674F6D" w:rsidRPr="000F0535" w14:paraId="7249F81F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CD82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CFBA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医院机构管理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F7E1074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用于管理和维护当前机构、供血单位及用血单位的相关信息。</w:t>
            </w:r>
          </w:p>
        </w:tc>
      </w:tr>
      <w:tr w:rsidR="00674F6D" w:rsidRPr="000F0535" w14:paraId="23DCEBBB" w14:textId="77777777" w:rsidTr="00AD70CC">
        <w:trPr>
          <w:trHeight w:val="70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BA310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医生站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B8929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异体用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1F9B68C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系统自动提取患者基本信息和检测信息，保存时给予输血相关的警示信息，如：疑难配血患者警示、特殊ABO血型和Rh血型患者提醒、不规则抗体筛查阳性警示、输血反应患者警示等。</w:t>
            </w:r>
          </w:p>
        </w:tc>
      </w:tr>
      <w:tr w:rsidR="00674F6D" w:rsidRPr="000F0535" w14:paraId="5CCE3A84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C3AB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5CA96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9AE3D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支持常规输血、手术备血、抢救输血等业务模式。</w:t>
            </w:r>
          </w:p>
        </w:tc>
      </w:tr>
      <w:tr w:rsidR="00674F6D" w:rsidRPr="000F0535" w14:paraId="1C41F3CE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A7CA6B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0D5D5D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3813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抢救输血，支持申请单补录、补批功能。</w:t>
            </w:r>
          </w:p>
        </w:tc>
      </w:tr>
      <w:tr w:rsidR="00674F6D" w:rsidRPr="000F0535" w14:paraId="232B90D6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32D5D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369B0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3A35B8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提交用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单前，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须签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署输血知情同意书。</w:t>
            </w:r>
          </w:p>
        </w:tc>
      </w:tr>
      <w:tr w:rsidR="00674F6D" w:rsidRPr="000F0535" w14:paraId="675A9E81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60360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5DE5F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30B9F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针对特定血液品种，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须签署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特殊备血预收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费同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意书，并提前收费。</w:t>
            </w:r>
          </w:p>
        </w:tc>
      </w:tr>
      <w:tr w:rsidR="00674F6D" w:rsidRPr="000F0535" w14:paraId="56300F51" w14:textId="77777777" w:rsidTr="00AD70CC">
        <w:trPr>
          <w:trHeight w:val="16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FA50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B32DF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0B5E5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输血前评估：根据患者输血指征、患者体征等，进行输前合理性评估，提示和控制医生用血申请。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支持登记患者体征信息，如血压、呼吸、心率、贫血原因、是否手术、手术类型、失血量、输血前用药、诊断说明等。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根据指征规则对用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单进行综合评估。根据不同科室设定不同输血标准，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不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合标准的申请输血须说明理由。</w:t>
            </w:r>
          </w:p>
        </w:tc>
      </w:tr>
      <w:tr w:rsidR="00674F6D" w:rsidRPr="000F0535" w14:paraId="7EA42D68" w14:textId="77777777" w:rsidTr="00AD70CC">
        <w:trPr>
          <w:trHeight w:val="48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C88818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19C94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A6F7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大量用血审批：根据卫生部85号令要求，在24小时内申请血量达到800ml时，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须科主任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审批；申请血量达到1600ml时，须医务科审批。</w:t>
            </w:r>
          </w:p>
        </w:tc>
      </w:tr>
      <w:tr w:rsidR="00674F6D" w:rsidRPr="000F0535" w14:paraId="796116B2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ED9B3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A2B00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7A3BC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满足自体输血条件时，提示临床医生采用自体输血方式。</w:t>
            </w:r>
          </w:p>
        </w:tc>
      </w:tr>
      <w:tr w:rsidR="00674F6D" w:rsidRPr="000F0535" w14:paraId="7C2722DD" w14:textId="77777777" w:rsidTr="00AD70CC">
        <w:trPr>
          <w:trHeight w:val="75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09BBC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33285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用血审批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8C5ED23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发血保存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时，根据相应参数的设置，例如24小时内申请血量，未超过1600ML（未院级审批），而24小时内实际发血量超过1600ML（含等于）时，自动生成“大量用血审批单”记录。临床医生需要打印大量用血审批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单再次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进行分级审批。</w:t>
            </w:r>
          </w:p>
        </w:tc>
      </w:tr>
      <w:tr w:rsidR="00674F6D" w:rsidRPr="000F0535" w14:paraId="536BD516" w14:textId="77777777" w:rsidTr="00AD70CC">
        <w:trPr>
          <w:trHeight w:val="57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17F9C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3938F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自体用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血申请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B4A7B5F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支持输血前评估，登记患者自体输血申请信息。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支持患者用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血历史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查询。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支持采血条码打印功能。</w:t>
            </w:r>
          </w:p>
        </w:tc>
      </w:tr>
      <w:tr w:rsidR="00674F6D" w:rsidRPr="000F0535" w14:paraId="4FEB2E89" w14:textId="77777777" w:rsidTr="00AD70CC">
        <w:trPr>
          <w:trHeight w:val="24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A8435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0ECF9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配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血报告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3E310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输血科配血后，临床医生可查看患者的交叉配血报告。</w:t>
            </w:r>
          </w:p>
        </w:tc>
      </w:tr>
      <w:tr w:rsidR="00674F6D" w:rsidRPr="000F0535" w14:paraId="1A3A967B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50D92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C65EAD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输血反应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2AD503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完善输血不良反应登记信息，包括反应情况查看、反应处理措施录入、不良反应上报等。</w:t>
            </w:r>
          </w:p>
        </w:tc>
      </w:tr>
      <w:tr w:rsidR="00674F6D" w:rsidRPr="000F0535" w14:paraId="104FBD83" w14:textId="77777777" w:rsidTr="00AD70CC">
        <w:trPr>
          <w:trHeight w:val="570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B9D9C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CA5AF6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输血后评价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C1081C9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临床医生记录输血后评价信息。包括输血明细、体征改善、输血疗效、不良反应及处理措施、合理性医生评价、输血科反馈等。</w:t>
            </w: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br/>
              <w:t>支持生成输血病历。</w:t>
            </w:r>
          </w:p>
        </w:tc>
      </w:tr>
      <w:tr w:rsidR="00674F6D" w:rsidRPr="000F0535" w14:paraId="6FDC0075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25F4A0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267424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医生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站指导</w:t>
            </w:r>
            <w:proofErr w:type="gram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B4276FF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编辑医生站日常操作信息，指导医生如何使用。</w:t>
            </w:r>
          </w:p>
        </w:tc>
      </w:tr>
      <w:tr w:rsidR="00674F6D" w:rsidRPr="000F0535" w14:paraId="1471B8F4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0A7107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9F025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打印设置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42AAE69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设置单据等的打印机、打印方式等信息。</w:t>
            </w:r>
          </w:p>
        </w:tc>
      </w:tr>
      <w:tr w:rsidR="00674F6D" w:rsidRPr="000F0535" w14:paraId="24388BB6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D1351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DB182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系统设置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4EBF8405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用于密码修改、电子签名证书绑定</w:t>
            </w:r>
          </w:p>
        </w:tc>
      </w:tr>
      <w:tr w:rsidR="00674F6D" w:rsidRPr="000F0535" w14:paraId="1028AD43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47B1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20C9F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血液输注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AB1A9D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为二级医院提供血液输</w:t>
            </w:r>
            <w:proofErr w:type="gramStart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注关键</w:t>
            </w:r>
            <w:proofErr w:type="gramEnd"/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信息登记。</w:t>
            </w:r>
          </w:p>
        </w:tc>
      </w:tr>
      <w:tr w:rsidR="00674F6D" w:rsidRPr="000F0535" w14:paraId="0B1A4457" w14:textId="77777777" w:rsidTr="00AD70CC">
        <w:trPr>
          <w:trHeight w:val="37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8BADF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9DD9A3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输血反应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2B3142F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输血巡视时，登记输血反应情况后，自动生成输血反应记录，并提示临床医生进行处置。</w:t>
            </w:r>
          </w:p>
        </w:tc>
      </w:tr>
      <w:tr w:rsidR="00674F6D" w:rsidRPr="000F0535" w14:paraId="3359C4CA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C7B5A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D4D296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护士工作指导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59F8262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编辑护士日常操作指导。</w:t>
            </w:r>
          </w:p>
        </w:tc>
      </w:tr>
      <w:tr w:rsidR="00674F6D" w:rsidRPr="000F0535" w14:paraId="602E7998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DF5566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DBDFA1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打印设置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51EF876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设置单据等的打印机、打印方式等信息。</w:t>
            </w:r>
          </w:p>
        </w:tc>
      </w:tr>
      <w:tr w:rsidR="00674F6D" w:rsidRPr="000F0535" w14:paraId="4E3A0EB9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B94EE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D710F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系统设置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C373D5D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用于密码修改、电子签名证书绑定</w:t>
            </w:r>
          </w:p>
        </w:tc>
      </w:tr>
      <w:tr w:rsidR="00674F6D" w:rsidRPr="000F0535" w14:paraId="27DD3EB3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53A54D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F94980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统计报表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18574C3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包括血液品种发血统计、血液品种反应统计、输后评价统计等</w:t>
            </w:r>
          </w:p>
        </w:tc>
      </w:tr>
      <w:tr w:rsidR="00674F6D" w:rsidRPr="000F0535" w14:paraId="75865961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B1531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28F38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打印设置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1396A0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设置单据等的打印机、打印方式等信息。</w:t>
            </w:r>
          </w:p>
        </w:tc>
      </w:tr>
      <w:tr w:rsidR="00674F6D" w:rsidRPr="000F0535" w14:paraId="7ED14DC5" w14:textId="77777777" w:rsidTr="00AD70CC">
        <w:trPr>
          <w:trHeight w:val="195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1FD599" w14:textId="77777777" w:rsidR="00674F6D" w:rsidRPr="000F0535" w:rsidRDefault="00674F6D" w:rsidP="00F41277">
            <w:pPr>
              <w:jc w:val="center"/>
              <w:rPr>
                <w:rFonts w:ascii="宋体" w:eastAsia="宋体" w:cs="宋体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52360E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系统设置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AF0B15E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用于密码修改、电子签名证书绑定</w:t>
            </w:r>
          </w:p>
        </w:tc>
      </w:tr>
      <w:tr w:rsidR="00674F6D" w:rsidRPr="000F0535" w14:paraId="6D2010FF" w14:textId="77777777" w:rsidTr="00AD70CC">
        <w:trPr>
          <w:trHeight w:val="9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A16AB0" w14:textId="77777777" w:rsidR="00674F6D" w:rsidRPr="000F0535" w:rsidRDefault="00674F6D" w:rsidP="00F41277">
            <w:pPr>
              <w:widowControl/>
              <w:jc w:val="center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医务科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86BFF9" w14:textId="77777777" w:rsidR="00674F6D" w:rsidRPr="000F0535" w:rsidRDefault="00674F6D" w:rsidP="00F41277">
            <w:pPr>
              <w:widowControl/>
              <w:jc w:val="left"/>
              <w:textAlignment w:val="center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大量用血审批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7F8BB9" w14:textId="77777777" w:rsidR="00674F6D" w:rsidRPr="000F0535" w:rsidRDefault="00674F6D" w:rsidP="00F41277">
            <w:pPr>
              <w:widowControl/>
              <w:jc w:val="left"/>
              <w:textAlignment w:val="bottom"/>
              <w:rPr>
                <w:rFonts w:ascii="宋体" w:eastAsia="宋体" w:cs="宋体"/>
                <w:b w:val="0"/>
                <w:sz w:val="22"/>
                <w:szCs w:val="22"/>
              </w:rPr>
            </w:pPr>
            <w:r w:rsidRPr="000F0535">
              <w:rPr>
                <w:rFonts w:ascii="宋体" w:eastAsia="宋体" w:cs="宋体" w:hint="eastAsia"/>
                <w:b w:val="0"/>
                <w:sz w:val="22"/>
                <w:szCs w:val="22"/>
              </w:rPr>
              <w:t>同一患者一次用（备）血或同一患者24h内用（备）血累积≥1600ml时，须医务科进行大量用血审批。</w:t>
            </w:r>
          </w:p>
        </w:tc>
      </w:tr>
    </w:tbl>
    <w:p w14:paraId="599F5228" w14:textId="77777777" w:rsidR="00674F6D" w:rsidRPr="000F0535" w:rsidRDefault="00674F6D" w:rsidP="00674F6D">
      <w:pPr>
        <w:rPr>
          <w:rFonts w:ascii="宋体" w:eastAsia="宋体" w:cs="宋体"/>
          <w:b w:val="0"/>
          <w:sz w:val="22"/>
          <w:szCs w:val="22"/>
        </w:rPr>
      </w:pPr>
    </w:p>
    <w:p w14:paraId="12C7EDBA" w14:textId="1782A799" w:rsidR="00C814B1" w:rsidRPr="00D50132" w:rsidRDefault="00C814B1" w:rsidP="00D50132">
      <w:pPr>
        <w:autoSpaceDE w:val="0"/>
        <w:autoSpaceDN w:val="0"/>
        <w:adjustRightInd w:val="0"/>
        <w:snapToGrid w:val="0"/>
        <w:spacing w:line="460" w:lineRule="exact"/>
        <w:textAlignment w:val="bottom"/>
        <w:rPr>
          <w:rFonts w:ascii="宋体" w:eastAsia="宋体" w:cs="宋体"/>
          <w:b w:val="0"/>
          <w:sz w:val="28"/>
          <w:szCs w:val="28"/>
        </w:rPr>
      </w:pPr>
      <w:r w:rsidRPr="00D50132">
        <w:rPr>
          <w:rFonts w:ascii="宋体" w:eastAsia="宋体" w:cs="宋体" w:hint="eastAsia"/>
          <w:b w:val="0"/>
          <w:sz w:val="28"/>
          <w:szCs w:val="28"/>
        </w:rPr>
        <w:t>三、项目总体要求</w:t>
      </w:r>
    </w:p>
    <w:p w14:paraId="1AF7A934" w14:textId="77777777" w:rsidR="00C814B1" w:rsidRPr="00D50132" w:rsidRDefault="00C814B1" w:rsidP="00C814B1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ab/>
        <w:t>投标供应商须按有关标准及规范完成本次招标软件的研发与安装、调试与上线、通过有关部门验收、质保期服务等各项工作，并保证软件使用的安全性与可靠性。</w:t>
      </w:r>
    </w:p>
    <w:p w14:paraId="2A22DEF2" w14:textId="3DEA296B" w:rsidR="00C814B1" w:rsidRPr="00D50132" w:rsidRDefault="00D50132" w:rsidP="00D50132">
      <w:pPr>
        <w:autoSpaceDE w:val="0"/>
        <w:autoSpaceDN w:val="0"/>
        <w:adjustRightInd w:val="0"/>
        <w:snapToGrid w:val="0"/>
        <w:spacing w:line="460" w:lineRule="exact"/>
        <w:textAlignment w:val="bottom"/>
        <w:rPr>
          <w:rFonts w:ascii="宋体" w:eastAsia="宋体" w:cs="宋体"/>
          <w:b w:val="0"/>
          <w:sz w:val="28"/>
          <w:szCs w:val="28"/>
        </w:rPr>
      </w:pPr>
      <w:r w:rsidRPr="00D50132">
        <w:rPr>
          <w:rFonts w:ascii="宋体" w:eastAsia="宋体" w:cs="宋体" w:hint="eastAsia"/>
          <w:b w:val="0"/>
          <w:sz w:val="28"/>
          <w:szCs w:val="28"/>
        </w:rPr>
        <w:t>四</w:t>
      </w:r>
      <w:r w:rsidR="00C814B1" w:rsidRPr="00D50132">
        <w:rPr>
          <w:rFonts w:ascii="宋体" w:eastAsia="宋体" w:cs="宋体" w:hint="eastAsia"/>
          <w:b w:val="0"/>
          <w:sz w:val="28"/>
          <w:szCs w:val="28"/>
        </w:rPr>
        <w:t>、工作范围及要求</w:t>
      </w:r>
    </w:p>
    <w:p w14:paraId="16CFC674" w14:textId="77777777" w:rsidR="00C814B1" w:rsidRPr="00D50132" w:rsidRDefault="00C814B1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>根据采购文件，各投标供应商须按国家有关标准及规范完成下列工作：</w:t>
      </w:r>
    </w:p>
    <w:p w14:paraId="3BFD1021" w14:textId="77777777" w:rsidR="00C814B1" w:rsidRPr="00D50132" w:rsidRDefault="00C814B1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>（一）安装及调试、验收</w:t>
      </w:r>
    </w:p>
    <w:p w14:paraId="7660A078" w14:textId="013CA400" w:rsidR="00C814B1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>
        <w:rPr>
          <w:rFonts w:ascii="宋体" w:eastAsia="宋体"/>
          <w:b w:val="0"/>
          <w:szCs w:val="21"/>
        </w:rPr>
        <w:tab/>
      </w:r>
      <w:r w:rsidR="00C814B1" w:rsidRPr="00D50132">
        <w:rPr>
          <w:rFonts w:ascii="宋体" w:eastAsia="宋体" w:hint="eastAsia"/>
          <w:b w:val="0"/>
          <w:szCs w:val="21"/>
        </w:rPr>
        <w:t>投标供应商应派采购人认可的有经验和能力、具有相应资质的技术人员，负责系统安装工作，在软件安装期间应充分了解软件安装进度要求，解决安装中出现的技术问题。中标供应商应自行承担选派专业人员的住宿、就餐和交通等费用。</w:t>
      </w:r>
    </w:p>
    <w:p w14:paraId="73F91DAB" w14:textId="0E6C345F" w:rsidR="00C814B1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>
        <w:rPr>
          <w:rFonts w:ascii="宋体" w:eastAsia="宋体"/>
          <w:b w:val="0"/>
          <w:szCs w:val="21"/>
        </w:rPr>
        <w:tab/>
      </w:r>
      <w:r w:rsidR="00C814B1" w:rsidRPr="00D50132">
        <w:rPr>
          <w:rFonts w:ascii="宋体" w:eastAsia="宋体" w:hint="eastAsia"/>
          <w:b w:val="0"/>
          <w:szCs w:val="21"/>
        </w:rPr>
        <w:t>投标供应商负责软件的安装、调试，直至通过有关部门的验收。</w:t>
      </w:r>
    </w:p>
    <w:p w14:paraId="36F40F8D" w14:textId="6821E5F8" w:rsidR="00C814B1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>
        <w:rPr>
          <w:rFonts w:ascii="宋体" w:eastAsia="宋体"/>
          <w:b w:val="0"/>
          <w:szCs w:val="21"/>
        </w:rPr>
        <w:tab/>
      </w:r>
      <w:r w:rsidR="00C814B1" w:rsidRPr="00D50132">
        <w:rPr>
          <w:rFonts w:ascii="宋体" w:eastAsia="宋体" w:hint="eastAsia"/>
          <w:b w:val="0"/>
          <w:szCs w:val="21"/>
        </w:rPr>
        <w:t>安装完成后，进行调试、</w:t>
      </w:r>
      <w:proofErr w:type="gramStart"/>
      <w:r w:rsidR="00C814B1" w:rsidRPr="00D50132">
        <w:rPr>
          <w:rFonts w:ascii="宋体" w:eastAsia="宋体" w:hint="eastAsia"/>
          <w:b w:val="0"/>
          <w:szCs w:val="21"/>
        </w:rPr>
        <w:t>验收按</w:t>
      </w:r>
      <w:proofErr w:type="gramEnd"/>
      <w:r w:rsidR="00C814B1" w:rsidRPr="00D50132">
        <w:rPr>
          <w:rFonts w:ascii="宋体" w:eastAsia="宋体" w:hint="eastAsia"/>
          <w:b w:val="0"/>
          <w:szCs w:val="21"/>
        </w:rPr>
        <w:t>双方合同规定的要求进行。</w:t>
      </w:r>
    </w:p>
    <w:p w14:paraId="4C055363" w14:textId="77777777" w:rsidR="00C814B1" w:rsidRPr="00D50132" w:rsidRDefault="00C814B1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>（二）质保期</w:t>
      </w:r>
    </w:p>
    <w:p w14:paraId="035CDB87" w14:textId="77804F0B" w:rsidR="00C814B1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>
        <w:rPr>
          <w:rFonts w:ascii="宋体" w:eastAsia="宋体"/>
          <w:b w:val="0"/>
          <w:szCs w:val="21"/>
        </w:rPr>
        <w:tab/>
      </w:r>
      <w:r w:rsidR="00C814B1" w:rsidRPr="00D50132">
        <w:rPr>
          <w:rFonts w:ascii="宋体" w:eastAsia="宋体" w:hint="eastAsia"/>
          <w:b w:val="0"/>
          <w:szCs w:val="21"/>
        </w:rPr>
        <w:t>软件质保期1年。</w:t>
      </w:r>
    </w:p>
    <w:p w14:paraId="1C5E865D" w14:textId="10654964" w:rsidR="00C814B1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>
        <w:rPr>
          <w:rFonts w:ascii="宋体" w:eastAsia="宋体"/>
          <w:b w:val="0"/>
          <w:szCs w:val="21"/>
        </w:rPr>
        <w:tab/>
      </w:r>
      <w:r w:rsidR="00C814B1" w:rsidRPr="00D50132">
        <w:rPr>
          <w:rFonts w:ascii="宋体" w:eastAsia="宋体" w:hint="eastAsia"/>
          <w:b w:val="0"/>
          <w:szCs w:val="21"/>
        </w:rPr>
        <w:t>投标供应商在投标响应文件中说明在质保期内提供的服务计划。</w:t>
      </w:r>
    </w:p>
    <w:p w14:paraId="715559BA" w14:textId="77777777" w:rsidR="00C814B1" w:rsidRPr="00D50132" w:rsidRDefault="00C814B1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>（三）售后服务</w:t>
      </w:r>
    </w:p>
    <w:p w14:paraId="153373BF" w14:textId="2A1FEC42" w:rsidR="005A0B95" w:rsidRDefault="00C814B1" w:rsidP="00D50132">
      <w:pPr>
        <w:widowControl/>
        <w:tabs>
          <w:tab w:val="left" w:pos="420"/>
        </w:tabs>
        <w:spacing w:line="400" w:lineRule="exact"/>
        <w:rPr>
          <w:rFonts w:ascii="宋体" w:eastAsia="宋体" w:hint="eastAsia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ab/>
        <w:t>在软件整个使用期内，卖方应确保软件的正常使用。在接到采购</w:t>
      </w:r>
      <w:proofErr w:type="gramStart"/>
      <w:r w:rsidRPr="00D50132">
        <w:rPr>
          <w:rFonts w:ascii="宋体" w:eastAsia="宋体" w:hint="eastAsia"/>
          <w:b w:val="0"/>
          <w:szCs w:val="21"/>
        </w:rPr>
        <w:t>人软件</w:t>
      </w:r>
      <w:proofErr w:type="gramEnd"/>
      <w:r w:rsidRPr="00D50132">
        <w:rPr>
          <w:rFonts w:ascii="宋体" w:eastAsia="宋体" w:hint="eastAsia"/>
          <w:b w:val="0"/>
          <w:szCs w:val="21"/>
        </w:rPr>
        <w:t>故障修复要求后应立即</w:t>
      </w:r>
      <w:proofErr w:type="gramStart"/>
      <w:r w:rsidRPr="00D50132">
        <w:rPr>
          <w:rFonts w:ascii="宋体" w:eastAsia="宋体" w:hint="eastAsia"/>
          <w:b w:val="0"/>
          <w:szCs w:val="21"/>
        </w:rPr>
        <w:t>作出</w:t>
      </w:r>
      <w:proofErr w:type="gramEnd"/>
      <w:r w:rsidRPr="00D50132">
        <w:rPr>
          <w:rFonts w:ascii="宋体" w:eastAsia="宋体" w:hint="eastAsia"/>
          <w:b w:val="0"/>
          <w:szCs w:val="21"/>
        </w:rPr>
        <w:t>回应</w:t>
      </w:r>
      <w:r w:rsidR="005A0B95">
        <w:rPr>
          <w:rFonts w:ascii="宋体" w:eastAsia="宋体" w:hint="eastAsia"/>
          <w:b w:val="0"/>
          <w:szCs w:val="21"/>
        </w:rPr>
        <w:t>。</w:t>
      </w:r>
      <w:r w:rsidR="00B70245">
        <w:rPr>
          <w:rFonts w:ascii="宋体" w:eastAsia="宋体" w:hint="eastAsia"/>
          <w:b w:val="0"/>
          <w:szCs w:val="21"/>
        </w:rPr>
        <w:t>对于服务请求，须在半小时内响应，一般问题24小时内解决，</w:t>
      </w:r>
      <w:r w:rsidR="00CD322F">
        <w:rPr>
          <w:rFonts w:ascii="宋体" w:eastAsia="宋体" w:hint="eastAsia"/>
          <w:b w:val="0"/>
          <w:szCs w:val="21"/>
        </w:rPr>
        <w:t>对于重大问题不能超过72消失；</w:t>
      </w:r>
      <w:r w:rsidR="00935514">
        <w:rPr>
          <w:rFonts w:ascii="宋体" w:eastAsia="宋体" w:hint="eastAsia"/>
          <w:b w:val="0"/>
          <w:szCs w:val="21"/>
        </w:rPr>
        <w:t>特殊情况可采用远程解决，远程不能解决的须在48小时内达到现场解决。</w:t>
      </w:r>
    </w:p>
    <w:p w14:paraId="6BE18F32" w14:textId="77777777" w:rsidR="00C814B1" w:rsidRPr="00D50132" w:rsidRDefault="00C814B1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>（四）培训</w:t>
      </w:r>
    </w:p>
    <w:p w14:paraId="473F70C4" w14:textId="18BD467D" w:rsidR="00C814B1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>
        <w:rPr>
          <w:rFonts w:ascii="宋体" w:eastAsia="宋体"/>
          <w:b w:val="0"/>
          <w:szCs w:val="21"/>
        </w:rPr>
        <w:tab/>
      </w:r>
      <w:r w:rsidR="00C814B1" w:rsidRPr="00D50132">
        <w:rPr>
          <w:rFonts w:ascii="宋体" w:eastAsia="宋体" w:hint="eastAsia"/>
          <w:b w:val="0"/>
          <w:szCs w:val="21"/>
        </w:rPr>
        <w:t>中标供应商应对用户的信息中心人员提供培训，使其能对软件进行日常的运维及能对一般故障进行修复，并向培训人员提供软件运维手册、系统密码及软件操作手册。</w:t>
      </w:r>
    </w:p>
    <w:p w14:paraId="67D5F5ED" w14:textId="5F5BB4D0" w:rsidR="00C814B1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>
        <w:rPr>
          <w:rFonts w:ascii="宋体" w:eastAsia="宋体"/>
          <w:b w:val="0"/>
          <w:szCs w:val="21"/>
        </w:rPr>
        <w:tab/>
      </w:r>
      <w:r w:rsidR="00C814B1" w:rsidRPr="00D50132">
        <w:rPr>
          <w:rFonts w:ascii="宋体" w:eastAsia="宋体" w:hint="eastAsia"/>
          <w:b w:val="0"/>
          <w:szCs w:val="21"/>
        </w:rPr>
        <w:t>中标供应商应对采购人的操作人员进行操作培训，使其能对软件进行熟练的操作。</w:t>
      </w:r>
    </w:p>
    <w:p w14:paraId="1648866D" w14:textId="5C347E28" w:rsidR="00C814B1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>
        <w:rPr>
          <w:rFonts w:ascii="宋体" w:eastAsia="宋体"/>
          <w:b w:val="0"/>
          <w:szCs w:val="21"/>
        </w:rPr>
        <w:tab/>
      </w:r>
      <w:r w:rsidR="00C814B1" w:rsidRPr="00D50132">
        <w:rPr>
          <w:rFonts w:ascii="宋体" w:eastAsia="宋体" w:hint="eastAsia"/>
          <w:b w:val="0"/>
          <w:szCs w:val="21"/>
        </w:rPr>
        <w:t>以上二种培训的培训方式、地点、人员及费用（包含在投标总价中）投标供应商应在投标响应文件中详细说明。</w:t>
      </w:r>
    </w:p>
    <w:p w14:paraId="7759CAB4" w14:textId="77777777" w:rsidR="00C814B1" w:rsidRPr="00D50132" w:rsidRDefault="00C814B1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>（五）验收</w:t>
      </w:r>
    </w:p>
    <w:p w14:paraId="4AC243B1" w14:textId="2796CDA3" w:rsidR="00C814B1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>
        <w:rPr>
          <w:rFonts w:ascii="宋体" w:eastAsia="宋体"/>
          <w:b w:val="0"/>
          <w:szCs w:val="21"/>
        </w:rPr>
        <w:lastRenderedPageBreak/>
        <w:tab/>
      </w:r>
      <w:r w:rsidR="00C814B1" w:rsidRPr="00D50132">
        <w:rPr>
          <w:rFonts w:ascii="宋体" w:eastAsia="宋体" w:hint="eastAsia"/>
          <w:b w:val="0"/>
          <w:szCs w:val="21"/>
        </w:rPr>
        <w:t>中标供应商应提供软件的有效验收文件，经采购人认可后，与系统的性能指标、合同内容一起作为软件验收标准。采购人对软件验收合格后，双方共同签署验收合格证书并加盖公章。验收中发现软件达不到验收标准或合同规定的性能指标，中标供应商必须进行相应开发补充或功能升级。</w:t>
      </w:r>
    </w:p>
    <w:p w14:paraId="19ABB126" w14:textId="3B167A89" w:rsidR="00C814B1" w:rsidRDefault="00C814B1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>验收费用由产品中标供应商负担。</w:t>
      </w:r>
    </w:p>
    <w:p w14:paraId="6A237EB7" w14:textId="77777777" w:rsidR="00BA1DA7" w:rsidRPr="00BA1DA7" w:rsidRDefault="00BA1DA7" w:rsidP="00BA1DA7">
      <w:pPr>
        <w:spacing w:line="400" w:lineRule="exact"/>
        <w:ind w:firstLineChars="200" w:firstLine="420"/>
        <w:rPr>
          <w:rFonts w:ascii="宋体" w:eastAsia="宋体"/>
          <w:b w:val="0"/>
          <w:szCs w:val="21"/>
        </w:rPr>
      </w:pPr>
      <w:r w:rsidRPr="00BA1DA7">
        <w:rPr>
          <w:rFonts w:ascii="宋体" w:eastAsia="宋体" w:hint="eastAsia"/>
          <w:b w:val="0"/>
          <w:szCs w:val="21"/>
        </w:rPr>
        <w:t>验收要求：</w:t>
      </w:r>
    </w:p>
    <w:p w14:paraId="6EC133F4" w14:textId="77777777" w:rsidR="00BA1DA7" w:rsidRPr="00BA1DA7" w:rsidRDefault="00BA1DA7" w:rsidP="00BA1DA7">
      <w:pPr>
        <w:spacing w:line="400" w:lineRule="exact"/>
        <w:ind w:firstLineChars="200" w:firstLine="420"/>
        <w:rPr>
          <w:rFonts w:ascii="宋体" w:eastAsia="宋体"/>
          <w:b w:val="0"/>
          <w:szCs w:val="21"/>
        </w:rPr>
      </w:pPr>
      <w:r w:rsidRPr="00BA1DA7">
        <w:rPr>
          <w:rFonts w:ascii="宋体" w:eastAsia="宋体" w:hint="eastAsia"/>
          <w:b w:val="0"/>
          <w:szCs w:val="21"/>
        </w:rPr>
        <w:t>1、初步验收：中标方完成系统开发、部署、调试完成并上线之后,建设单位组织初步验收，初验的基本条件是:①全面完成系统的设计、开发、测试和集成工作,达到功能、性能、使用等方面的要求②系统运行稳定,业务流程符合要求；</w:t>
      </w:r>
    </w:p>
    <w:p w14:paraId="04F3130D" w14:textId="77777777" w:rsidR="00BA1DA7" w:rsidRPr="00BA1DA7" w:rsidRDefault="00BA1DA7" w:rsidP="00BA1DA7">
      <w:pPr>
        <w:spacing w:line="400" w:lineRule="exact"/>
        <w:ind w:firstLineChars="200" w:firstLine="420"/>
        <w:rPr>
          <w:rFonts w:ascii="宋体" w:eastAsia="宋体"/>
          <w:b w:val="0"/>
          <w:szCs w:val="21"/>
        </w:rPr>
      </w:pPr>
      <w:r w:rsidRPr="00BA1DA7">
        <w:rPr>
          <w:rFonts w:ascii="宋体" w:eastAsia="宋体" w:hint="eastAsia"/>
          <w:b w:val="0"/>
          <w:szCs w:val="21"/>
        </w:rPr>
        <w:t>2、试运行:通过初步验收后,进入3个月的连续试运行期。在试运行期间,中标人需提供足够的培训和技术支持,保障用户能够正确的理解和使用系统,同时根据运行中出现的问题以及用户需求情况,及时修改完善系统。试运行期内如出现重大故障,则试运行期从故障排除之日起重新计算,直到系统连续两个月无重大故障为止；</w:t>
      </w:r>
    </w:p>
    <w:p w14:paraId="7C2E937D" w14:textId="77777777" w:rsidR="00BA1DA7" w:rsidRPr="00BA1DA7" w:rsidRDefault="00BA1DA7" w:rsidP="00BA1DA7">
      <w:pPr>
        <w:spacing w:line="400" w:lineRule="exact"/>
        <w:ind w:firstLineChars="200" w:firstLine="420"/>
        <w:rPr>
          <w:rFonts w:ascii="宋体" w:eastAsia="宋体"/>
          <w:b w:val="0"/>
          <w:szCs w:val="21"/>
        </w:rPr>
      </w:pPr>
      <w:r w:rsidRPr="00BA1DA7">
        <w:rPr>
          <w:rFonts w:ascii="宋体" w:eastAsia="宋体" w:hint="eastAsia"/>
          <w:b w:val="0"/>
          <w:szCs w:val="21"/>
        </w:rPr>
        <w:t>3、终验：试运行期满后如果系统工作正常、稳定,可以进行竣工验收，由建设单位组织终验。</w:t>
      </w:r>
    </w:p>
    <w:p w14:paraId="68679DF4" w14:textId="0EAADDD0" w:rsidR="00BA1DA7" w:rsidRPr="00BA1DA7" w:rsidRDefault="00BA1DA7" w:rsidP="00BA1DA7">
      <w:pPr>
        <w:spacing w:line="400" w:lineRule="exact"/>
        <w:ind w:firstLineChars="200" w:firstLine="420"/>
        <w:rPr>
          <w:rFonts w:ascii="宋体" w:eastAsia="宋体" w:hint="eastAsia"/>
          <w:b w:val="0"/>
          <w:szCs w:val="21"/>
        </w:rPr>
      </w:pPr>
      <w:r w:rsidRPr="00BA1DA7">
        <w:rPr>
          <w:rFonts w:ascii="宋体" w:eastAsia="宋体" w:hint="eastAsia"/>
          <w:b w:val="0"/>
          <w:szCs w:val="21"/>
        </w:rPr>
        <w:t>4.</w:t>
      </w:r>
      <w:r w:rsidRPr="00BA1DA7">
        <w:rPr>
          <w:rFonts w:ascii="宋体" w:eastAsia="宋体"/>
          <w:b w:val="0"/>
          <w:szCs w:val="21"/>
        </w:rPr>
        <w:t>验收所产生的一切费用由中标人承担。</w:t>
      </w:r>
      <w:bookmarkStart w:id="0" w:name="_GoBack"/>
      <w:bookmarkEnd w:id="0"/>
    </w:p>
    <w:p w14:paraId="6AB7BC18" w14:textId="77777777" w:rsidR="00C814B1" w:rsidRPr="00D50132" w:rsidRDefault="00C814B1" w:rsidP="00D50132">
      <w:pPr>
        <w:widowControl/>
        <w:tabs>
          <w:tab w:val="left" w:pos="420"/>
        </w:tabs>
        <w:spacing w:line="400" w:lineRule="exact"/>
        <w:rPr>
          <w:rFonts w:ascii="宋体" w:eastAsia="宋体"/>
          <w:b w:val="0"/>
          <w:szCs w:val="21"/>
        </w:rPr>
      </w:pPr>
      <w:r w:rsidRPr="00D50132">
        <w:rPr>
          <w:rFonts w:ascii="宋体" w:eastAsia="宋体" w:hint="eastAsia"/>
          <w:b w:val="0"/>
          <w:szCs w:val="21"/>
        </w:rPr>
        <w:t>（六）服务期限</w:t>
      </w:r>
    </w:p>
    <w:p w14:paraId="3BA13A07" w14:textId="203D7096" w:rsidR="00674F6D" w:rsidRPr="00D50132" w:rsidRDefault="00D50132" w:rsidP="00D50132">
      <w:pPr>
        <w:widowControl/>
        <w:tabs>
          <w:tab w:val="left" w:pos="420"/>
        </w:tabs>
        <w:spacing w:line="400" w:lineRule="exact"/>
        <w:rPr>
          <w:rFonts w:ascii="宋体" w:eastAsia="宋体" w:hint="eastAsia"/>
          <w:b w:val="0"/>
          <w:szCs w:val="21"/>
        </w:rPr>
      </w:pPr>
      <w:r>
        <w:rPr>
          <w:rFonts w:ascii="宋体" w:eastAsia="宋体"/>
          <w:b w:val="0"/>
          <w:szCs w:val="21"/>
        </w:rPr>
        <w:tab/>
      </w:r>
      <w:r w:rsidR="00C814B1" w:rsidRPr="00D50132">
        <w:rPr>
          <w:rFonts w:ascii="宋体" w:eastAsia="宋体" w:hint="eastAsia"/>
          <w:b w:val="0"/>
          <w:szCs w:val="21"/>
        </w:rPr>
        <w:t>合同签订后90</w:t>
      </w:r>
      <w:proofErr w:type="gramStart"/>
      <w:r w:rsidR="00C814B1" w:rsidRPr="00D50132">
        <w:rPr>
          <w:rFonts w:ascii="宋体" w:eastAsia="宋体" w:hint="eastAsia"/>
          <w:b w:val="0"/>
          <w:szCs w:val="21"/>
        </w:rPr>
        <w:t>日历天</w:t>
      </w:r>
      <w:proofErr w:type="gramEnd"/>
      <w:r w:rsidR="00C814B1" w:rsidRPr="00D50132">
        <w:rPr>
          <w:rFonts w:ascii="宋体" w:eastAsia="宋体" w:hint="eastAsia"/>
          <w:b w:val="0"/>
          <w:szCs w:val="21"/>
        </w:rPr>
        <w:t>内安装调试完毕</w:t>
      </w:r>
      <w:r w:rsidR="00935514">
        <w:rPr>
          <w:rFonts w:ascii="宋体" w:eastAsia="宋体" w:hint="eastAsia"/>
          <w:b w:val="0"/>
          <w:szCs w:val="21"/>
        </w:rPr>
        <w:t>，排除因第三方原因。</w:t>
      </w:r>
    </w:p>
    <w:sectPr w:rsidR="00674F6D" w:rsidRPr="00D50132" w:rsidSect="006B6213">
      <w:footerReference w:type="default" r:id="rId8"/>
      <w:pgSz w:w="11906" w:h="16838"/>
      <w:pgMar w:top="85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E0B99" w14:textId="77777777" w:rsidR="00E877EA" w:rsidRDefault="00E877EA" w:rsidP="00CC3EA7">
      <w:r>
        <w:separator/>
      </w:r>
    </w:p>
  </w:endnote>
  <w:endnote w:type="continuationSeparator" w:id="0">
    <w:p w14:paraId="2D20B5E4" w14:textId="77777777" w:rsidR="00E877EA" w:rsidRDefault="00E877EA" w:rsidP="00CC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339476"/>
      <w:docPartObj>
        <w:docPartGallery w:val="Page Numbers (Bottom of Page)"/>
        <w:docPartUnique/>
      </w:docPartObj>
    </w:sdtPr>
    <w:sdtEndPr>
      <w:rPr>
        <w:rFonts w:ascii="宋体" w:eastAsia="宋体"/>
        <w:b w:val="0"/>
        <w:bCs/>
        <w:sz w:val="21"/>
        <w:szCs w:val="21"/>
      </w:rPr>
    </w:sdtEndPr>
    <w:sdtContent>
      <w:p w14:paraId="56A70243" w14:textId="37047252" w:rsidR="000F0535" w:rsidRPr="000F0535" w:rsidRDefault="000F0535" w:rsidP="000F0535">
        <w:pPr>
          <w:pStyle w:val="a6"/>
          <w:jc w:val="center"/>
          <w:rPr>
            <w:rFonts w:ascii="宋体" w:eastAsia="宋体"/>
            <w:b w:val="0"/>
            <w:bCs/>
            <w:sz w:val="21"/>
            <w:szCs w:val="21"/>
          </w:rPr>
        </w:pPr>
        <w:r w:rsidRPr="000F0535">
          <w:rPr>
            <w:rFonts w:ascii="宋体" w:eastAsia="宋体"/>
            <w:b w:val="0"/>
            <w:bCs/>
            <w:sz w:val="21"/>
            <w:szCs w:val="21"/>
          </w:rPr>
          <w:fldChar w:fldCharType="begin"/>
        </w:r>
        <w:r w:rsidRPr="000F0535">
          <w:rPr>
            <w:rFonts w:ascii="宋体" w:eastAsia="宋体"/>
            <w:b w:val="0"/>
            <w:bCs/>
            <w:sz w:val="21"/>
            <w:szCs w:val="21"/>
          </w:rPr>
          <w:instrText>PAGE   \* MERGEFORMAT</w:instrText>
        </w:r>
        <w:r w:rsidRPr="000F0535">
          <w:rPr>
            <w:rFonts w:ascii="宋体" w:eastAsia="宋体"/>
            <w:b w:val="0"/>
            <w:bCs/>
            <w:sz w:val="21"/>
            <w:szCs w:val="21"/>
          </w:rPr>
          <w:fldChar w:fldCharType="separate"/>
        </w:r>
        <w:r w:rsidRPr="000F0535">
          <w:rPr>
            <w:rFonts w:ascii="宋体" w:eastAsia="宋体"/>
            <w:b w:val="0"/>
            <w:bCs/>
            <w:sz w:val="21"/>
            <w:szCs w:val="21"/>
            <w:lang w:val="zh-CN"/>
          </w:rPr>
          <w:t>2</w:t>
        </w:r>
        <w:r w:rsidRPr="000F0535">
          <w:rPr>
            <w:rFonts w:ascii="宋体" w:eastAsia="宋体"/>
            <w:b w:val="0"/>
            <w:bCs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6474C" w14:textId="77777777" w:rsidR="00E877EA" w:rsidRDefault="00E877EA" w:rsidP="00CC3EA7">
      <w:r>
        <w:separator/>
      </w:r>
    </w:p>
  </w:footnote>
  <w:footnote w:type="continuationSeparator" w:id="0">
    <w:p w14:paraId="29004117" w14:textId="77777777" w:rsidR="00E877EA" w:rsidRDefault="00E877EA" w:rsidP="00CC3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34DB98"/>
    <w:multiLevelType w:val="singleLevel"/>
    <w:tmpl w:val="8A34DB98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8B39D7CF"/>
    <w:multiLevelType w:val="singleLevel"/>
    <w:tmpl w:val="8B39D7C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8C624168"/>
    <w:multiLevelType w:val="singleLevel"/>
    <w:tmpl w:val="8C6241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8EA4135A"/>
    <w:multiLevelType w:val="singleLevel"/>
    <w:tmpl w:val="8EA4135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E2D2C78C"/>
    <w:multiLevelType w:val="singleLevel"/>
    <w:tmpl w:val="E2D2C78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9ABF907"/>
    <w:multiLevelType w:val="singleLevel"/>
    <w:tmpl w:val="29ABF90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3D9120E5"/>
    <w:multiLevelType w:val="multilevel"/>
    <w:tmpl w:val="3D9120E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FCDEC4"/>
    <w:multiLevelType w:val="singleLevel"/>
    <w:tmpl w:val="43FCDEC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567D4501"/>
    <w:multiLevelType w:val="multilevel"/>
    <w:tmpl w:val="DCB21D4A"/>
    <w:lvl w:ilvl="0">
      <w:start w:val="1"/>
      <w:numFmt w:val="decimal"/>
      <w:lvlText w:val="%1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5C027DE6"/>
    <w:multiLevelType w:val="multilevel"/>
    <w:tmpl w:val="4322F1F6"/>
    <w:lvl w:ilvl="0">
      <w:start w:val="1"/>
      <w:numFmt w:val="decimal"/>
      <w:lvlText w:val="%1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633407D5"/>
    <w:multiLevelType w:val="multilevel"/>
    <w:tmpl w:val="633407D5"/>
    <w:lvl w:ilvl="0">
      <w:start w:val="1"/>
      <w:numFmt w:val="decimal"/>
      <w:pStyle w:val="3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21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6A"/>
    <w:rsid w:val="000C0477"/>
    <w:rsid w:val="000D1E4E"/>
    <w:rsid w:val="000F0535"/>
    <w:rsid w:val="001172A3"/>
    <w:rsid w:val="00161776"/>
    <w:rsid w:val="001763CC"/>
    <w:rsid w:val="001C6926"/>
    <w:rsid w:val="00205008"/>
    <w:rsid w:val="002C377F"/>
    <w:rsid w:val="00355CE7"/>
    <w:rsid w:val="0038500C"/>
    <w:rsid w:val="00387CC7"/>
    <w:rsid w:val="003E55F1"/>
    <w:rsid w:val="00483E69"/>
    <w:rsid w:val="00503653"/>
    <w:rsid w:val="00572F40"/>
    <w:rsid w:val="005A0B95"/>
    <w:rsid w:val="005A1629"/>
    <w:rsid w:val="005B7851"/>
    <w:rsid w:val="005D5C6A"/>
    <w:rsid w:val="00606AE8"/>
    <w:rsid w:val="00674F6D"/>
    <w:rsid w:val="006B1FAA"/>
    <w:rsid w:val="006B6213"/>
    <w:rsid w:val="006F2EB7"/>
    <w:rsid w:val="0070487B"/>
    <w:rsid w:val="007242F1"/>
    <w:rsid w:val="007C1E49"/>
    <w:rsid w:val="007C4730"/>
    <w:rsid w:val="0086736A"/>
    <w:rsid w:val="00884226"/>
    <w:rsid w:val="00935514"/>
    <w:rsid w:val="00972EC1"/>
    <w:rsid w:val="009E4A14"/>
    <w:rsid w:val="00A96BB2"/>
    <w:rsid w:val="00AC1885"/>
    <w:rsid w:val="00AD70CC"/>
    <w:rsid w:val="00B5315D"/>
    <w:rsid w:val="00B621A6"/>
    <w:rsid w:val="00B70245"/>
    <w:rsid w:val="00BA1DA7"/>
    <w:rsid w:val="00BD790E"/>
    <w:rsid w:val="00C15D31"/>
    <w:rsid w:val="00C5630B"/>
    <w:rsid w:val="00C814B1"/>
    <w:rsid w:val="00CC3EA7"/>
    <w:rsid w:val="00CD322F"/>
    <w:rsid w:val="00D277DF"/>
    <w:rsid w:val="00D50132"/>
    <w:rsid w:val="00D979EE"/>
    <w:rsid w:val="00DF7D4B"/>
    <w:rsid w:val="00E877EA"/>
    <w:rsid w:val="00EC0646"/>
    <w:rsid w:val="00ED139A"/>
    <w:rsid w:val="00EE5C6B"/>
    <w:rsid w:val="00F7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15B976"/>
  <w15:chartTrackingRefBased/>
  <w15:docId w15:val="{6C14E3D7-E023-4F14-938C-74C63194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CC3EA7"/>
    <w:pPr>
      <w:widowControl w:val="0"/>
      <w:jc w:val="both"/>
    </w:pPr>
    <w:rPr>
      <w:rFonts w:ascii="仿宋_GB2312" w:eastAsia="仿宋_GB2312" w:hAnsi="宋体" w:cs="Times New Roman"/>
      <w:b/>
      <w:color w:val="000000"/>
      <w:kern w:val="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74F6D"/>
    <w:pPr>
      <w:keepNext/>
      <w:keepLines/>
      <w:spacing w:before="260" w:after="260" w:line="416" w:lineRule="auto"/>
      <w:outlineLvl w:val="1"/>
    </w:pPr>
    <w:rPr>
      <w:rFonts w:ascii="Cambria" w:eastAsia="宋体" w:hAnsi="Cambria"/>
      <w:bCs/>
      <w:color w:val="auto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C3E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C3E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3E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C3EA7"/>
    <w:rPr>
      <w:sz w:val="18"/>
      <w:szCs w:val="18"/>
    </w:rPr>
  </w:style>
  <w:style w:type="paragraph" w:styleId="a0">
    <w:name w:val="Title"/>
    <w:basedOn w:val="a"/>
    <w:next w:val="a"/>
    <w:link w:val="a8"/>
    <w:qFormat/>
    <w:rsid w:val="00CC3EA7"/>
    <w:pPr>
      <w:spacing w:before="240" w:after="60"/>
      <w:jc w:val="center"/>
      <w:outlineLvl w:val="0"/>
    </w:pPr>
    <w:rPr>
      <w:rFonts w:ascii="Arial" w:eastAsia="宋体" w:hAnsi="Arial" w:cs="Arial"/>
      <w:bCs/>
      <w:sz w:val="32"/>
      <w:szCs w:val="32"/>
    </w:rPr>
  </w:style>
  <w:style w:type="character" w:customStyle="1" w:styleId="a8">
    <w:name w:val="标题 字符"/>
    <w:basedOn w:val="a1"/>
    <w:link w:val="a0"/>
    <w:rsid w:val="00CC3EA7"/>
    <w:rPr>
      <w:rFonts w:ascii="Arial" w:eastAsia="宋体" w:hAnsi="Arial" w:cs="Arial"/>
      <w:b/>
      <w:bCs/>
      <w:color w:val="000000"/>
      <w:kern w:val="0"/>
      <w:sz w:val="32"/>
      <w:szCs w:val="32"/>
    </w:rPr>
  </w:style>
  <w:style w:type="paragraph" w:styleId="a9">
    <w:name w:val="Plain Text"/>
    <w:basedOn w:val="a"/>
    <w:next w:val="TOC2"/>
    <w:link w:val="aa"/>
    <w:uiPriority w:val="99"/>
    <w:qFormat/>
    <w:rsid w:val="00CC3EA7"/>
    <w:rPr>
      <w:rFonts w:ascii="宋体" w:hAnsi="Courier New"/>
    </w:rPr>
  </w:style>
  <w:style w:type="character" w:customStyle="1" w:styleId="aa">
    <w:name w:val="纯文本 字符"/>
    <w:basedOn w:val="a1"/>
    <w:link w:val="a9"/>
    <w:uiPriority w:val="99"/>
    <w:rsid w:val="00CC3EA7"/>
    <w:rPr>
      <w:rFonts w:ascii="宋体" w:eastAsia="仿宋_GB2312" w:hAnsi="Courier New" w:cs="Times New Roman"/>
      <w:b/>
      <w:color w:val="000000"/>
      <w:kern w:val="0"/>
      <w:szCs w:val="20"/>
    </w:rPr>
  </w:style>
  <w:style w:type="paragraph" w:styleId="TOC2">
    <w:name w:val="toc 2"/>
    <w:basedOn w:val="a"/>
    <w:next w:val="a"/>
    <w:autoRedefine/>
    <w:uiPriority w:val="39"/>
    <w:semiHidden/>
    <w:unhideWhenUsed/>
    <w:rsid w:val="00CC3EA7"/>
    <w:pPr>
      <w:ind w:leftChars="200" w:left="420"/>
    </w:pPr>
  </w:style>
  <w:style w:type="paragraph" w:styleId="ab">
    <w:name w:val="Body Text Indent"/>
    <w:basedOn w:val="a"/>
    <w:next w:val="a"/>
    <w:link w:val="ac"/>
    <w:qFormat/>
    <w:rsid w:val="00CC3EA7"/>
    <w:pPr>
      <w:ind w:left="480" w:hangingChars="200" w:hanging="480"/>
    </w:pPr>
    <w:rPr>
      <w:rFonts w:ascii="Calibri" w:eastAsia="宋体" w:hAnsi="Calibri"/>
      <w:b w:val="0"/>
      <w:color w:val="auto"/>
      <w:kern w:val="2"/>
      <w:sz w:val="24"/>
      <w:szCs w:val="24"/>
    </w:rPr>
  </w:style>
  <w:style w:type="character" w:customStyle="1" w:styleId="ac">
    <w:name w:val="正文文本缩进 字符"/>
    <w:basedOn w:val="a1"/>
    <w:link w:val="ab"/>
    <w:rsid w:val="00CC3EA7"/>
    <w:rPr>
      <w:rFonts w:ascii="Calibri" w:eastAsia="宋体" w:hAnsi="Calibri" w:cs="Times New Roman"/>
      <w:sz w:val="24"/>
      <w:szCs w:val="24"/>
    </w:rPr>
  </w:style>
  <w:style w:type="paragraph" w:styleId="ad">
    <w:name w:val="Normal (Web)"/>
    <w:basedOn w:val="a"/>
    <w:uiPriority w:val="99"/>
    <w:qFormat/>
    <w:rsid w:val="00CC3EA7"/>
    <w:pPr>
      <w:widowControl/>
      <w:spacing w:before="100" w:beforeAutospacing="1" w:after="100" w:afterAutospacing="1"/>
      <w:jc w:val="left"/>
    </w:pPr>
    <w:rPr>
      <w:rFonts w:ascii="宋体" w:eastAsia="宋体" w:cs="宋体"/>
      <w:b w:val="0"/>
      <w:color w:val="auto"/>
      <w:sz w:val="24"/>
      <w:szCs w:val="24"/>
    </w:rPr>
  </w:style>
  <w:style w:type="paragraph" w:customStyle="1" w:styleId="1">
    <w:name w:val="列出段落1"/>
    <w:basedOn w:val="a"/>
    <w:qFormat/>
    <w:rsid w:val="00CC3EA7"/>
    <w:pPr>
      <w:ind w:firstLineChars="200" w:firstLine="420"/>
    </w:pPr>
    <w:rPr>
      <w:rFonts w:ascii="Calibri" w:eastAsia="宋体" w:hAnsi="Calibri"/>
      <w:b w:val="0"/>
      <w:color w:val="auto"/>
      <w:kern w:val="2"/>
      <w:szCs w:val="24"/>
    </w:rPr>
  </w:style>
  <w:style w:type="character" w:customStyle="1" w:styleId="20">
    <w:name w:val="标题 2 字符"/>
    <w:basedOn w:val="a1"/>
    <w:link w:val="2"/>
    <w:uiPriority w:val="9"/>
    <w:qFormat/>
    <w:rsid w:val="00674F6D"/>
    <w:rPr>
      <w:rFonts w:ascii="Cambria" w:eastAsia="宋体" w:hAnsi="Cambria" w:cs="Times New Roman"/>
      <w:b/>
      <w:bCs/>
      <w:sz w:val="32"/>
      <w:szCs w:val="32"/>
    </w:rPr>
  </w:style>
  <w:style w:type="paragraph" w:styleId="ae">
    <w:name w:val="Normal Indent"/>
    <w:basedOn w:val="a"/>
    <w:next w:val="a"/>
    <w:link w:val="af"/>
    <w:qFormat/>
    <w:rsid w:val="00674F6D"/>
    <w:pPr>
      <w:adjustRightInd w:val="0"/>
      <w:spacing w:line="312" w:lineRule="atLeast"/>
      <w:ind w:firstLine="420"/>
      <w:textAlignment w:val="baseline"/>
    </w:pPr>
    <w:rPr>
      <w:rFonts w:eastAsia="宋体" w:hAnsi="Calibri"/>
      <w:color w:val="auto"/>
      <w:szCs w:val="32"/>
    </w:rPr>
  </w:style>
  <w:style w:type="paragraph" w:customStyle="1" w:styleId="BodyText1I">
    <w:name w:val="BodyText1I"/>
    <w:basedOn w:val="a"/>
    <w:qFormat/>
    <w:rsid w:val="00674F6D"/>
    <w:pPr>
      <w:spacing w:after="120"/>
      <w:ind w:firstLineChars="100" w:firstLine="420"/>
    </w:pPr>
    <w:rPr>
      <w:rFonts w:ascii="Calibri" w:eastAsia="宋体" w:hAnsi="Calibri"/>
      <w:b w:val="0"/>
      <w:color w:val="auto"/>
      <w:kern w:val="2"/>
      <w:szCs w:val="24"/>
    </w:rPr>
  </w:style>
  <w:style w:type="table" w:styleId="af0">
    <w:name w:val="Table Grid"/>
    <w:basedOn w:val="a2"/>
    <w:uiPriority w:val="59"/>
    <w:qFormat/>
    <w:rsid w:val="00674F6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表段落1"/>
    <w:basedOn w:val="a"/>
    <w:uiPriority w:val="34"/>
    <w:qFormat/>
    <w:rsid w:val="00674F6D"/>
    <w:pPr>
      <w:ind w:firstLineChars="200" w:firstLine="420"/>
    </w:pPr>
    <w:rPr>
      <w:rFonts w:asciiTheme="minorHAnsi" w:eastAsiaTheme="minorEastAsia" w:hAnsiTheme="minorHAnsi" w:cstheme="minorBidi"/>
      <w:b w:val="0"/>
      <w:color w:val="auto"/>
      <w:kern w:val="2"/>
      <w:szCs w:val="22"/>
    </w:rPr>
  </w:style>
  <w:style w:type="character" w:customStyle="1" w:styleId="af">
    <w:name w:val="正文缩进 字符"/>
    <w:link w:val="ae"/>
    <w:qFormat/>
    <w:rsid w:val="001C6926"/>
    <w:rPr>
      <w:rFonts w:ascii="仿宋_GB2312" w:eastAsia="宋体" w:hAnsi="Calibri" w:cs="Times New Roman"/>
      <w:b/>
      <w:kern w:val="0"/>
      <w:szCs w:val="32"/>
    </w:rPr>
  </w:style>
  <w:style w:type="paragraph" w:styleId="3">
    <w:name w:val="List Number 3"/>
    <w:basedOn w:val="a"/>
    <w:uiPriority w:val="99"/>
    <w:unhideWhenUsed/>
    <w:rsid w:val="00C814B1"/>
    <w:pPr>
      <w:widowControl/>
      <w:numPr>
        <w:numId w:val="2"/>
      </w:numPr>
      <w:tabs>
        <w:tab w:val="left" w:pos="1200"/>
      </w:tabs>
      <w:jc w:val="left"/>
    </w:pPr>
    <w:rPr>
      <w:rFonts w:ascii="Times New Roman" w:eastAsia="宋体" w:hAnsi="Times New Roman"/>
      <w:b w:val="0"/>
      <w:color w:val="auto"/>
    </w:rPr>
  </w:style>
  <w:style w:type="paragraph" w:customStyle="1" w:styleId="af1">
    <w:name w:val="正文段"/>
    <w:basedOn w:val="a"/>
    <w:rsid w:val="00C814B1"/>
    <w:pPr>
      <w:widowControl/>
      <w:snapToGrid w:val="0"/>
      <w:spacing w:afterLines="50" w:after="50"/>
      <w:ind w:firstLineChars="200" w:firstLine="200"/>
    </w:pPr>
    <w:rPr>
      <w:rFonts w:ascii="Times New Roman" w:eastAsia="宋体" w:hAnsi="Times New Roman"/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CBDC-201E-414C-81CC-09C160B0C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8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卢学勉</cp:lastModifiedBy>
  <cp:revision>45</cp:revision>
  <dcterms:created xsi:type="dcterms:W3CDTF">2022-03-17T08:50:00Z</dcterms:created>
  <dcterms:modified xsi:type="dcterms:W3CDTF">2022-05-12T08:44:00Z</dcterms:modified>
</cp:coreProperties>
</file>